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487E" w14:textId="0078A4DE" w:rsidR="001D6CFC" w:rsidRPr="00BE74D0" w:rsidRDefault="002F4138">
      <w:pPr>
        <w:rPr>
          <w:rFonts w:ascii="Times New Roman" w:hAnsi="Times New Roman" w:cs="Times New Roman"/>
        </w:rPr>
      </w:pPr>
      <w:r w:rsidRPr="00BE74D0">
        <w:rPr>
          <w:rFonts w:ascii="Times New Roman" w:hAnsi="Times New Roman" w:cs="Times New Roman"/>
        </w:rPr>
        <w:t xml:space="preserve">Dr </w:t>
      </w:r>
      <w:r w:rsidR="00BE74D0" w:rsidRPr="00BE74D0">
        <w:rPr>
          <w:rFonts w:ascii="Times New Roman" w:hAnsi="Times New Roman" w:cs="Times New Roman"/>
        </w:rPr>
        <w:t>Dariusz Danilewicz</w:t>
      </w:r>
      <w:r w:rsidR="003A08FC" w:rsidRPr="00BE74D0">
        <w:rPr>
          <w:rFonts w:ascii="Times New Roman" w:hAnsi="Times New Roman" w:cs="Times New Roman"/>
        </w:rPr>
        <w:tab/>
      </w:r>
      <w:r w:rsidR="003A08FC" w:rsidRPr="00BE74D0">
        <w:rPr>
          <w:rFonts w:ascii="Times New Roman" w:hAnsi="Times New Roman" w:cs="Times New Roman"/>
        </w:rPr>
        <w:tab/>
      </w:r>
      <w:r w:rsidR="003A08FC" w:rsidRPr="00BE74D0">
        <w:rPr>
          <w:rFonts w:ascii="Times New Roman" w:hAnsi="Times New Roman" w:cs="Times New Roman"/>
        </w:rPr>
        <w:tab/>
      </w:r>
      <w:r w:rsidR="003A08FC" w:rsidRPr="00BE74D0">
        <w:rPr>
          <w:rFonts w:ascii="Times New Roman" w:hAnsi="Times New Roman" w:cs="Times New Roman"/>
        </w:rPr>
        <w:tab/>
      </w:r>
      <w:r w:rsidR="003A08FC" w:rsidRPr="00BE74D0">
        <w:rPr>
          <w:rFonts w:ascii="Times New Roman" w:hAnsi="Times New Roman" w:cs="Times New Roman"/>
        </w:rPr>
        <w:tab/>
      </w:r>
    </w:p>
    <w:p w14:paraId="51D9941D" w14:textId="5746BBB0" w:rsidR="001D6CFC" w:rsidRPr="00BE74D0" w:rsidRDefault="002F4138">
      <w:pPr>
        <w:rPr>
          <w:rFonts w:ascii="Times New Roman" w:hAnsi="Times New Roman" w:cs="Times New Roman"/>
        </w:rPr>
      </w:pPr>
      <w:r w:rsidRPr="00BE74D0">
        <w:rPr>
          <w:rFonts w:ascii="Times New Roman" w:hAnsi="Times New Roman" w:cs="Times New Roman"/>
        </w:rPr>
        <w:t>Szkoła Główna Handlowa w Warszawie</w:t>
      </w:r>
    </w:p>
    <w:p w14:paraId="097FB266" w14:textId="02EB9AC5" w:rsidR="001D6CFC" w:rsidRPr="00BE74D0" w:rsidRDefault="001D6CFC">
      <w:pPr>
        <w:rPr>
          <w:rFonts w:ascii="Times New Roman" w:hAnsi="Times New Roman" w:cs="Times New Roman"/>
        </w:rPr>
      </w:pPr>
    </w:p>
    <w:p w14:paraId="239D3562" w14:textId="12D775FC" w:rsidR="001D6CFC" w:rsidRPr="00BE74D0" w:rsidRDefault="00252E35" w:rsidP="00252E35">
      <w:pPr>
        <w:pStyle w:val="doc-ti"/>
        <w:spacing w:line="360" w:lineRule="auto"/>
        <w:jc w:val="center"/>
        <w:rPr>
          <w:b/>
        </w:rPr>
      </w:pPr>
      <w:r w:rsidRPr="00252E35">
        <w:rPr>
          <w:b/>
        </w:rPr>
        <w:t>Ciągła zmiana w szkole jako wyznacznik dobrej edukacji</w:t>
      </w:r>
      <w:r w:rsidR="003A08FC" w:rsidRPr="00BE74D0">
        <w:rPr>
          <w:rStyle w:val="Odwoanieprzypisudolnego"/>
          <w:b/>
          <w:bCs/>
          <w:color w:val="000000" w:themeColor="text1"/>
        </w:rPr>
        <w:footnoteReference w:id="1"/>
      </w:r>
    </w:p>
    <w:p w14:paraId="5D1B579B" w14:textId="7CFCC28D" w:rsidR="001D6CFC" w:rsidRPr="00BE74D0" w:rsidRDefault="001D6CFC" w:rsidP="001D6CFC">
      <w:pPr>
        <w:jc w:val="center"/>
        <w:rPr>
          <w:rFonts w:ascii="Times New Roman" w:hAnsi="Times New Roman" w:cs="Times New Roman"/>
          <w:b/>
          <w:bCs/>
        </w:rPr>
      </w:pPr>
    </w:p>
    <w:p w14:paraId="0DEE64F0" w14:textId="2098AEE0" w:rsidR="00E37B04" w:rsidRDefault="001D6CFC" w:rsidP="00F72B64">
      <w:pPr>
        <w:spacing w:line="240" w:lineRule="auto"/>
        <w:jc w:val="both"/>
        <w:rPr>
          <w:rFonts w:ascii="Times New Roman" w:hAnsi="Times New Roman" w:cs="Times New Roman"/>
          <w:sz w:val="20"/>
          <w:szCs w:val="20"/>
        </w:rPr>
      </w:pPr>
      <w:r w:rsidRPr="00BE74D0">
        <w:rPr>
          <w:rFonts w:ascii="Times New Roman" w:hAnsi="Times New Roman" w:cs="Times New Roman"/>
          <w:sz w:val="20"/>
          <w:szCs w:val="20"/>
        </w:rPr>
        <w:t xml:space="preserve">Streszczenie: </w:t>
      </w:r>
      <w:r w:rsidR="00FA0CED">
        <w:rPr>
          <w:rFonts w:ascii="Times New Roman" w:hAnsi="Times New Roman" w:cs="Times New Roman"/>
          <w:sz w:val="20"/>
          <w:szCs w:val="20"/>
        </w:rPr>
        <w:t xml:space="preserve">Artykuł podejmuje temat zmiany </w:t>
      </w:r>
      <w:r w:rsidR="003F0FC1">
        <w:rPr>
          <w:rFonts w:ascii="Times New Roman" w:hAnsi="Times New Roman" w:cs="Times New Roman"/>
          <w:sz w:val="20"/>
          <w:szCs w:val="20"/>
        </w:rPr>
        <w:t xml:space="preserve">system edukacji; zmiany, która mimo krytyki w szczególności członków społeczności szkolnej (w tym dyrektorów i nauczycieli) jest czynnikiem niezbędnym. Tak, jak zmiany zachodzą w każdej sferze życia społecznego, gospodarczego, kulturalnego itd., tak muszą </w:t>
      </w:r>
      <w:proofErr w:type="spellStart"/>
      <w:r w:rsidR="003F0FC1">
        <w:rPr>
          <w:rFonts w:ascii="Times New Roman" w:hAnsi="Times New Roman" w:cs="Times New Roman"/>
          <w:sz w:val="20"/>
          <w:szCs w:val="20"/>
        </w:rPr>
        <w:t>oe</w:t>
      </w:r>
      <w:proofErr w:type="spellEnd"/>
      <w:r w:rsidR="003F0FC1">
        <w:rPr>
          <w:rFonts w:ascii="Times New Roman" w:hAnsi="Times New Roman" w:cs="Times New Roman"/>
          <w:sz w:val="20"/>
          <w:szCs w:val="20"/>
        </w:rPr>
        <w:t xml:space="preserve"> dotykać szkolnictwa – na poziomie organizacyjnym i na poziomie programów i planów nauczania.</w:t>
      </w:r>
    </w:p>
    <w:p w14:paraId="272F1C0E" w14:textId="77777777" w:rsidR="00AB2A93" w:rsidRPr="00252E35" w:rsidRDefault="00AB2A93" w:rsidP="00F72B64">
      <w:pPr>
        <w:spacing w:line="240" w:lineRule="auto"/>
        <w:jc w:val="both"/>
        <w:rPr>
          <w:rFonts w:ascii="Times New Roman" w:hAnsi="Times New Roman" w:cs="Times New Roman"/>
          <w:sz w:val="20"/>
          <w:szCs w:val="20"/>
        </w:rPr>
      </w:pPr>
    </w:p>
    <w:p w14:paraId="1E6B81F6" w14:textId="50733B5E" w:rsidR="0099331F" w:rsidRPr="00252E35" w:rsidRDefault="00BE74D0" w:rsidP="0099331F">
      <w:pPr>
        <w:pStyle w:val="Nagwek2"/>
        <w:spacing w:line="360" w:lineRule="auto"/>
        <w:rPr>
          <w:rFonts w:ascii="Times New Roman" w:hAnsi="Times New Roman" w:cs="Times New Roman"/>
          <w:b/>
          <w:bCs/>
          <w:color w:val="000000" w:themeColor="text1"/>
          <w:sz w:val="24"/>
          <w:szCs w:val="24"/>
        </w:rPr>
      </w:pPr>
      <w:r w:rsidRPr="00252E35">
        <w:rPr>
          <w:rFonts w:ascii="Times New Roman" w:hAnsi="Times New Roman" w:cs="Times New Roman"/>
          <w:b/>
          <w:bCs/>
          <w:color w:val="000000" w:themeColor="text1"/>
          <w:sz w:val="24"/>
          <w:szCs w:val="24"/>
        </w:rPr>
        <w:t>Wstęp</w:t>
      </w:r>
    </w:p>
    <w:p w14:paraId="121C1126" w14:textId="77777777" w:rsidR="00252E35" w:rsidRPr="00252E35" w:rsidRDefault="00252E35" w:rsidP="00252E35">
      <w:pPr>
        <w:pStyle w:val="doc-ti"/>
        <w:spacing w:line="360" w:lineRule="auto"/>
        <w:jc w:val="both"/>
      </w:pPr>
      <w:r w:rsidRPr="00252E35">
        <w:t xml:space="preserve">Jaka powinna być nowa, lepsza szkoła? Odpowiedź na to pytanie nie jest prosta, prawdopodobnie nie ma jednej, najlepszej. Niewątpliwie eksperci i praktycy edukacji zgadzają się ze stwierdzeniem, że efekty procesu edukacji dziś muszą być inne niż te, do których dążyła szkoła XX-wieczna (nie mówiąc już o szkole XIX-wiecznej). Systemy edukacji mają być zorientowane na przyszłość. Stale rosnąca jakość edukacji (ale też działań z zakresu </w:t>
      </w:r>
      <w:proofErr w:type="spellStart"/>
      <w:r w:rsidRPr="00252E35">
        <w:t>long</w:t>
      </w:r>
      <w:proofErr w:type="spellEnd"/>
      <w:r w:rsidRPr="00252E35">
        <w:t>-life learning) powinna być dostosowana do potrzeb europejskiego społeczeństwa poprzez tworzenie systemów kształcenia i szkolenia zapewniających wszystkim młodym ludziom środki do rozwinięcia kompetencji kluczowych na poziomie przygotowującym ich do dorosłego życia oraz stanowiącym podstawę dla dalszej nauki i życia zawodowego.</w:t>
      </w:r>
    </w:p>
    <w:p w14:paraId="38D2B552" w14:textId="65379AF3" w:rsidR="00BE74D0" w:rsidRPr="00252E35" w:rsidRDefault="00252E35" w:rsidP="00BE74D0">
      <w:pPr>
        <w:pStyle w:val="Nagwek2"/>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Kluczowe kompetencje</w:t>
      </w:r>
    </w:p>
    <w:p w14:paraId="4C83197F" w14:textId="21404EB2" w:rsidR="00252E35" w:rsidRPr="00252E35" w:rsidRDefault="00252E35" w:rsidP="00252E35">
      <w:pPr>
        <w:pStyle w:val="doc-ti"/>
        <w:spacing w:line="360" w:lineRule="auto"/>
        <w:jc w:val="both"/>
        <w:rPr>
          <w:rFonts w:eastAsiaTheme="minorHAnsi"/>
          <w:lang w:eastAsia="en-US"/>
        </w:rPr>
      </w:pPr>
      <w:r w:rsidRPr="00252E35">
        <w:rPr>
          <w:rFonts w:eastAsiaTheme="minorHAnsi"/>
          <w:lang w:eastAsia="en-US"/>
        </w:rPr>
        <w:t xml:space="preserve">W preambule do </w:t>
      </w:r>
      <w:r w:rsidRPr="00252E35">
        <w:rPr>
          <w:rFonts w:eastAsiaTheme="minorHAnsi"/>
          <w:i/>
          <w:lang w:eastAsia="en-US"/>
        </w:rPr>
        <w:t>Zalecenia Parlamentu Europejskiego i Rady w sprawie kompetencji kluczowych w procesie uczenia się przez całe życie</w:t>
      </w:r>
      <w:r w:rsidRPr="00252E35">
        <w:rPr>
          <w:rFonts w:eastAsiaTheme="minorHAnsi"/>
          <w:lang w:eastAsia="en-US"/>
        </w:rPr>
        <w:t xml:space="preserve"> można znaleźć zapisy mówiące tym, że konieczne jest sformułowanie europejskich ram określających nowe umiejętności podstawowe uzyskiwane w procesie uczenia się przez całe życie, stanowiących główny element działania Europy w obliczu globalizacji oraz przejścia do modelu gospodarki opartej na wiedzy</w:t>
      </w:r>
      <w:r w:rsidRPr="00252E35">
        <w:rPr>
          <w:rStyle w:val="Odwoanieprzypisudolnego"/>
        </w:rPr>
        <w:footnoteReference w:id="2"/>
      </w:r>
      <w:r w:rsidRPr="00252E35">
        <w:t xml:space="preserve">. </w:t>
      </w:r>
      <w:r w:rsidRPr="00252E35">
        <w:lastRenderedPageBreak/>
        <w:t>Dokument ten przedstawia kluczowe kompetencje, które mają być rozwijane w nowoczesnej szkole:</w:t>
      </w:r>
    </w:p>
    <w:p w14:paraId="5C760942" w14:textId="77777777" w:rsidR="00252E35" w:rsidRPr="00252E35" w:rsidRDefault="00252E35" w:rsidP="00252E35">
      <w:pPr>
        <w:pStyle w:val="doc-ti"/>
        <w:numPr>
          <w:ilvl w:val="0"/>
          <w:numId w:val="7"/>
        </w:numPr>
        <w:spacing w:line="360" w:lineRule="auto"/>
        <w:jc w:val="both"/>
      </w:pPr>
      <w:r w:rsidRPr="00252E35">
        <w:t>porozumiewanie się w języku ojczystym, czyli zdolność wyrażania i interpretowania pojęć, myśli, uczuć, faktów i opinii w mowie i piśmie (rozumienie ze słuchu, mówienie, czytanie i pisanie) oraz językowej interakcji w odpowiedniej i kreatywnej formie w pełnym zakresie kontekstów społecznych i kulturowych,</w:t>
      </w:r>
    </w:p>
    <w:p w14:paraId="374E06F0" w14:textId="77777777" w:rsidR="00252E35" w:rsidRPr="00252E35" w:rsidRDefault="00252E35" w:rsidP="00252E35">
      <w:pPr>
        <w:pStyle w:val="doc-ti"/>
        <w:numPr>
          <w:ilvl w:val="0"/>
          <w:numId w:val="7"/>
        </w:numPr>
        <w:spacing w:line="360" w:lineRule="auto"/>
        <w:jc w:val="both"/>
      </w:pPr>
      <w:r w:rsidRPr="00252E35">
        <w:t>porozumiewanie się w językach obcych, co obejmuje – oprócz głównych wymiarów umiejętności porozumiewania się w języku ojczystym – mediację i rozumienie różnic kulturowych. Stopień biegłości zależy od kilku czynników oraz możliwości rozumienia ze słuchu, mówienia, czytania i pisania,</w:t>
      </w:r>
    </w:p>
    <w:p w14:paraId="476CF67C" w14:textId="77777777" w:rsidR="00252E35" w:rsidRPr="00252E35" w:rsidRDefault="00252E35" w:rsidP="00252E35">
      <w:pPr>
        <w:pStyle w:val="doc-ti"/>
        <w:numPr>
          <w:ilvl w:val="0"/>
          <w:numId w:val="7"/>
        </w:numPr>
        <w:spacing w:line="360" w:lineRule="auto"/>
        <w:jc w:val="both"/>
      </w:pPr>
      <w:r w:rsidRPr="00252E35">
        <w:t>kompetencje matematyczne i podstawowe kompetencje naukowo-techniczne. Te pierwsze obejmują umiejętność rozwijania i wykorzystywania myślenia matematycznego w celu rozwiązywania problemów wynikających z codziennych sytuacji, z naciskiem na proces, działanie i wiedzę. Podstawowe kompetencje naukowo-techniczne dotyczą opanowania, wykorzystywania i stosowania wiedzy oraz metod objaśniających świat przyrody. Obejmują one rozumienie zmian powodowanych przez działalność ludzką oraz odpowiedzialność poszczególnych obywateli,</w:t>
      </w:r>
    </w:p>
    <w:p w14:paraId="3A38CFF5" w14:textId="77777777" w:rsidR="00252E35" w:rsidRPr="00252E35" w:rsidRDefault="00252E35" w:rsidP="00252E35">
      <w:pPr>
        <w:pStyle w:val="doc-ti"/>
        <w:numPr>
          <w:ilvl w:val="0"/>
          <w:numId w:val="7"/>
        </w:numPr>
        <w:spacing w:line="360" w:lineRule="auto"/>
        <w:jc w:val="both"/>
      </w:pPr>
      <w:r w:rsidRPr="00252E35">
        <w:t>kompetencje informatyczne, które obejmują umiejętne i krytyczne wykorzystywanie technologii społeczeństwa informacyjnego, a tym samym podstawowych umiejętności w zakresie technologii informacyjnych i komunikacyjnych (TIK),</w:t>
      </w:r>
    </w:p>
    <w:p w14:paraId="308ECCD6" w14:textId="77777777" w:rsidR="00252E35" w:rsidRPr="00252E35" w:rsidRDefault="00252E35" w:rsidP="00252E35">
      <w:pPr>
        <w:pStyle w:val="doc-ti"/>
        <w:numPr>
          <w:ilvl w:val="0"/>
          <w:numId w:val="7"/>
        </w:numPr>
        <w:spacing w:line="360" w:lineRule="auto"/>
        <w:jc w:val="both"/>
      </w:pPr>
      <w:r w:rsidRPr="00252E35">
        <w:t>umiejętność uczenia się będąca powiązana ze zdolnością konsekwentnego uczenia się, organizowania własnego procesu uczenia się indywidualnie oraz w grupach i odpowiednio do własnych potrzeb,</w:t>
      </w:r>
    </w:p>
    <w:p w14:paraId="7154F79E" w14:textId="77777777" w:rsidR="00252E35" w:rsidRPr="00252E35" w:rsidRDefault="00252E35" w:rsidP="00252E35">
      <w:pPr>
        <w:pStyle w:val="doc-ti"/>
        <w:numPr>
          <w:ilvl w:val="0"/>
          <w:numId w:val="7"/>
        </w:numPr>
        <w:spacing w:line="360" w:lineRule="auto"/>
        <w:jc w:val="both"/>
      </w:pPr>
      <w:r w:rsidRPr="00252E35">
        <w:t>kompetencje społeczne i obywatelskie. Kompetencje społeczne to kompetencje osobowe, interpersonalne i międzykulturowe oraz wszelkie formy zachowań przygotowujących osoby do skutecznego i konstruktywnego uczestnictwa w życiu społecznym i zawodowym. Kompetencje obywatelskie, a zwłaszcza znajomość pojęć i struktur społecznych i politycznych (demokracji, sprawiedliwości, równości, obywatelstwa i praw obywatelskich), które przygotowują do angażowania się w aktywne i demokratyczne działania,</w:t>
      </w:r>
    </w:p>
    <w:p w14:paraId="63AC6C58" w14:textId="77777777" w:rsidR="00252E35" w:rsidRPr="00252E35" w:rsidRDefault="00252E35" w:rsidP="00252E35">
      <w:pPr>
        <w:pStyle w:val="doc-ti"/>
        <w:numPr>
          <w:ilvl w:val="0"/>
          <w:numId w:val="7"/>
        </w:numPr>
        <w:spacing w:line="360" w:lineRule="auto"/>
        <w:jc w:val="both"/>
      </w:pPr>
      <w:r w:rsidRPr="00252E35">
        <w:t xml:space="preserve">poczucie inicjatywy i przedsiębiorczość, tj. zdolność do wcielania pomysłów w czyn. Jest to kreatywność, innowacyjność i podejmowanie ryzyka, a także zdolność do </w:t>
      </w:r>
      <w:r w:rsidRPr="00252E35">
        <w:lastRenderedPageBreak/>
        <w:t>planowania przedsięwzięć i prowadzenia ich dla osiągnięcia zamierzonych celów. Osoby rozwijające te kompetencje mają świadomość kontekstu swojej pracy i są zdolne do wykorzystywania pojawiających się szans. Jest to podstawa do nabywania bardziej konkretnych umiejętności i wiedzy potrzebnych tym, którzy podejmują przedsięwzięcia o charakterze społecznym lub biznesowym lub w nich uczestniczą,</w:t>
      </w:r>
    </w:p>
    <w:p w14:paraId="68C56739" w14:textId="77777777" w:rsidR="00252E35" w:rsidRPr="00252E35" w:rsidRDefault="00252E35" w:rsidP="00252E35">
      <w:pPr>
        <w:pStyle w:val="doc-ti"/>
        <w:numPr>
          <w:ilvl w:val="0"/>
          <w:numId w:val="7"/>
        </w:numPr>
        <w:spacing w:line="360" w:lineRule="auto"/>
        <w:jc w:val="both"/>
      </w:pPr>
      <w:r w:rsidRPr="00252E35">
        <w:t>świadomość i ekspresja kulturowa, co obejmuje docenianie znaczenia twórczego wyrażania idei, doświadczeń i emocji za pośrednictwem szeregu środków wyrazu (muzyki, sztuk teatralnych, literatury i sztuk wizualnych)</w:t>
      </w:r>
      <w:r w:rsidRPr="00252E35">
        <w:rPr>
          <w:rStyle w:val="Odwoanieprzypisudolnego"/>
        </w:rPr>
        <w:footnoteReference w:id="3"/>
      </w:r>
      <w:r w:rsidRPr="00252E35">
        <w:t>.</w:t>
      </w:r>
    </w:p>
    <w:p w14:paraId="19CCDC92" w14:textId="050212D2" w:rsidR="00252E35" w:rsidRPr="00252E35" w:rsidRDefault="00252E35" w:rsidP="00252E35">
      <w:pPr>
        <w:pStyle w:val="Nagwek2"/>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Otoczenie szkoły</w:t>
      </w:r>
    </w:p>
    <w:p w14:paraId="7815EE30" w14:textId="3B17C427" w:rsidR="00252E35" w:rsidRPr="00252E35" w:rsidRDefault="00252E35" w:rsidP="00252E35">
      <w:pPr>
        <w:pStyle w:val="doc-ti"/>
        <w:spacing w:line="360" w:lineRule="auto"/>
        <w:jc w:val="both"/>
      </w:pPr>
      <w:r w:rsidRPr="00252E35">
        <w:t>Nowoczesna szkoła –  w kontekście konieczności dostosowywania się do zmian zachodzących w świecie społeczno-gospodarczym – musi zacząć szerzej współpracować z otoczeniem. Zwykle pojęcie otoczenia organizacji jest definiowane z punktu widzenia przedsiębiorstwa. Redefiniując to  podejście</w:t>
      </w:r>
      <w:r w:rsidRPr="00252E35">
        <w:rPr>
          <w:vertAlign w:val="superscript"/>
        </w:rPr>
        <w:footnoteReference w:id="4"/>
      </w:r>
      <w:r w:rsidRPr="00252E35">
        <w:t xml:space="preserve"> można wysunąć kilka postulatów dotyczących polskiej nowoczesnej szkoły:</w:t>
      </w:r>
    </w:p>
    <w:p w14:paraId="7C5FAAA2" w14:textId="77777777" w:rsidR="00252E35" w:rsidRPr="00252E35" w:rsidRDefault="00252E35" w:rsidP="00252E35">
      <w:pPr>
        <w:pStyle w:val="doc-ti"/>
        <w:numPr>
          <w:ilvl w:val="0"/>
          <w:numId w:val="7"/>
        </w:numPr>
        <w:spacing w:line="360" w:lineRule="auto"/>
        <w:jc w:val="both"/>
      </w:pPr>
      <w:r w:rsidRPr="00252E35">
        <w:t>otoczenie to środowisko charakteryzujące się pewnymi właściwościami społeczno-kulturowymi, regionalnymi, ekonomicznymi, technologicznymi, politycznymi itd., w którym funkcjonuje organizacja (w tym szkoła). W związku z tym każda polska szkoła nie powinna być bliźniaczo do siebie podobna, gdyż zdaniem autora model funkcjonowania szkoły, działań wychowawczych i edukacyjnych (w szczególności w szkolnictwie zawodowym) powinien być uwarunkowany regionalnie. Z przykrością należy stwierdzić, że obecnie szkoła jest jeszcze często tworzona według jednego „wzorca”,</w:t>
      </w:r>
    </w:p>
    <w:p w14:paraId="7D220B26" w14:textId="77777777" w:rsidR="00252E35" w:rsidRPr="00252E35" w:rsidRDefault="00252E35" w:rsidP="00252E35">
      <w:pPr>
        <w:pStyle w:val="doc-ti"/>
        <w:numPr>
          <w:ilvl w:val="0"/>
          <w:numId w:val="7"/>
        </w:numPr>
        <w:spacing w:line="360" w:lineRule="auto"/>
        <w:jc w:val="both"/>
      </w:pPr>
      <w:r w:rsidRPr="00252E35">
        <w:t xml:space="preserve">otoczenie to zbiór czynników mających wpływ na lub mogących mieć wpływ na funkcjonowanie organizacji. Tradycyjnie w odniesieniu do przedsiębiorstw czynniki te oddziałują na wielkość firmy, jej strategię, cele, misję, wizją, wartości, metody działania itd. Także szkoła może (powinna) kształtować i następnie na bieżąco korygować swoje działania na poziomie strategicznym, taktycznym, operacyjnym uwzględniając czynniki lokalne, regionalne i ogólnopolskie, ale też trendy światowe (gospodarcze, </w:t>
      </w:r>
      <w:r w:rsidRPr="00252E35">
        <w:lastRenderedPageBreak/>
        <w:t>technologiczne, społeczno-kulturowe, prawne itd.). Obserwacje autora oraz seria wywiadów z zarządzającymi gimnazjami i szkołami ponadgimnazjalnymi prowadzą niejednokrotnie do wniosków, że działania szkół (np. w kontekście tworzenia nowych specjalności i profili, czy metod nauczania) są oparte o spojrzenie „do wewnątrz”: sprowadza się ono w wielu szkołach do analizy zasobów wewnętrznych (w tym także w odniesieniu do potencjału kompetencyjnego nauczycieli) i jedynie na tej podstawie opracowywania planów działań na kolejne lata (bez uwzględnienia potrzeb, możliwości, zmian zachodzących na zewnątrz szkoły). Co więcej szkoła powinna nie tylko obserwować swoje otoczenie bliższe i dalsze i czerpać z nich informacje wpływające na sposób funkcjonowania; powinna również uczestniczyć w kreowaniu otoczenia bliższego (doświadczenia autora pokazują, że szkoły stają się centrami życia społecznego stosunkowo częściej w małych miejscowościach),</w:t>
      </w:r>
    </w:p>
    <w:p w14:paraId="1E12AC37" w14:textId="77777777" w:rsidR="00252E35" w:rsidRPr="00252E35" w:rsidRDefault="00252E35" w:rsidP="00252E35">
      <w:pPr>
        <w:pStyle w:val="doc-ti"/>
        <w:numPr>
          <w:ilvl w:val="0"/>
          <w:numId w:val="7"/>
        </w:numPr>
        <w:spacing w:line="360" w:lineRule="auto"/>
        <w:jc w:val="both"/>
      </w:pPr>
      <w:r w:rsidRPr="00252E35">
        <w:t>otoczenie to przestrzeń, gdzie kreowane są decyzje istotne i narzucające organizacji ograniczenia, wpływające na przyszłość organizacji. W związku z tym szkoła jako organizacja powinna prowadzić analizę otoczenia bliższego i dalszego. W literaturze przedstawiane są różne rodzaje metod analizy otoczenia dalszego. Można je chociażby podzielić</w:t>
      </w:r>
      <w:r w:rsidRPr="00252E35">
        <w:rPr>
          <w:rStyle w:val="Odwoanieprzypisudolnego"/>
        </w:rPr>
        <w:footnoteReference w:id="5"/>
      </w:r>
      <w:r w:rsidRPr="00252E35">
        <w:t xml:space="preserve"> na metody </w:t>
      </w:r>
      <w:proofErr w:type="spellStart"/>
      <w:r w:rsidRPr="00252E35">
        <w:t>bezscenariuszowe</w:t>
      </w:r>
      <w:proofErr w:type="spellEnd"/>
      <w:r w:rsidRPr="00252E35">
        <w:t xml:space="preserve"> (np. analiza trendów, metoda delficka) i scenariuszowe, które opierają się na tworzeniu alternatywnych opisów przyszłości (możliwych scenariuszy, symulacji, stanów otoczenia) dotyczących rozwoju przyszłych wydarzeń w otoczeniu organizacji. W obecnej dobie coraz większą rolę zwraca się w przedsiębiorstwach nastawionych na zysk na tworzenie możliwych scenariuszy przyszłości, by ograniczyć ryzyka związane ze zmiennością otoczenia. Wydaje się, że takie podejście wśród zarządzających polskimi szkołami jeszcze nie jest wykorzystywane,</w:t>
      </w:r>
    </w:p>
    <w:p w14:paraId="4D6573C0" w14:textId="77777777" w:rsidR="00252E35" w:rsidRPr="00252E35" w:rsidRDefault="00252E35" w:rsidP="00252E35">
      <w:pPr>
        <w:pStyle w:val="doc-ti"/>
        <w:numPr>
          <w:ilvl w:val="0"/>
          <w:numId w:val="7"/>
        </w:numPr>
        <w:spacing w:line="360" w:lineRule="auto"/>
        <w:jc w:val="both"/>
      </w:pPr>
      <w:r w:rsidRPr="00252E35">
        <w:t xml:space="preserve">otoczenie to wszystkie elementy, które nie wchodzą w skład systemu organizacji, ale są z nim związane, oddziałują na nie poprzez wejścia i wyjścia systemu (opierając się na zasadach zarządzania procesowego). Warto by – zdaniem autora – rozpowszechniać wśród decydentów i zarządzających polskimi szkołami istotę zarządzania procesowego, której jednym z postulatów jest właśnie świadomość występowania i konieczności analizy wejść i wyjść w organizacji. Takie podejście mogłoby skłonić polskie szkoły do </w:t>
      </w:r>
      <w:r w:rsidRPr="00252E35">
        <w:lastRenderedPageBreak/>
        <w:t>bardziej wnikliwej analizy zasobów na wejście (w tym chociażby potencjału kompetencyjnego uczniów) i wyjść organizacji, jaką jest szkoła. W tym kontekście dotyczy to np. ustawicznej i bardziej wybiegającej w przyszłość analizy losów absolwentów szkół, by móc doskonalić procesy wewnętrzne w szkole (nie tylko dotyczące procesu nauczania). Dziś przepisy prawa wymagają jedynie analizy losu absolwentów danej szkoły bezpośrednio po ukończeniu jej przez ucznia, nie zaś w perspektywie kolejnych lat związanych z realizacją działań edukacyjnych i zawodowych ucznia.</w:t>
      </w:r>
    </w:p>
    <w:p w14:paraId="48166850" w14:textId="77777777" w:rsidR="00252E35" w:rsidRPr="00252E35" w:rsidRDefault="00252E35" w:rsidP="00252E35">
      <w:pPr>
        <w:pStyle w:val="Default"/>
        <w:spacing w:line="360" w:lineRule="auto"/>
        <w:jc w:val="both"/>
        <w:rPr>
          <w:rFonts w:ascii="Times New Roman" w:hAnsi="Times New Roman" w:cs="Times New Roman"/>
        </w:rPr>
      </w:pPr>
      <w:r w:rsidRPr="00252E35">
        <w:rPr>
          <w:rFonts w:ascii="Times New Roman" w:hAnsi="Times New Roman" w:cs="Times New Roman"/>
        </w:rPr>
        <w:t>Jak już zwracano uwagę w niniejszym opracowaniu otoczenie szkoły staje się wysoce niepewne. Zjawisko to ma i będzie miało charakter narastający. Wynika to po pierwsze ze zmienności działań (zachowań) składowych elementów otoczenia szkoły, po drugie zaś ze złożoności otoczenia szkoły (wielość i różnorodność elementów otoczenia szkoły, narastająca siła oddziaływania poszczególnych jego elementów). Take otoczenie nazwano burzliwym lub turbulentnym</w:t>
      </w:r>
      <w:r w:rsidRPr="00252E35">
        <w:rPr>
          <w:rStyle w:val="Odwoanieprzypisudolnego"/>
          <w:rFonts w:ascii="Times New Roman" w:hAnsi="Times New Roman" w:cs="Times New Roman"/>
        </w:rPr>
        <w:footnoteReference w:id="6"/>
      </w:r>
      <w:r w:rsidRPr="00252E35">
        <w:rPr>
          <w:rFonts w:ascii="Times New Roman" w:hAnsi="Times New Roman" w:cs="Times New Roman"/>
        </w:rPr>
        <w:t>. Otoczenie takie przejawia się poprzez zaistnienie czterech tendencji (i działań koniecznych do wdrożenia przez decydentów związanych ze szkołą)</w:t>
      </w:r>
      <w:r w:rsidRPr="00252E35">
        <w:rPr>
          <w:rStyle w:val="Odwoanieprzypisudolnego"/>
          <w:rFonts w:ascii="Times New Roman" w:hAnsi="Times New Roman" w:cs="Times New Roman"/>
        </w:rPr>
        <w:footnoteReference w:id="7"/>
      </w:r>
      <w:r w:rsidRPr="00252E35">
        <w:rPr>
          <w:rFonts w:ascii="Times New Roman" w:hAnsi="Times New Roman" w:cs="Times New Roman"/>
        </w:rPr>
        <w:t xml:space="preserve">: </w:t>
      </w:r>
    </w:p>
    <w:p w14:paraId="1EAC9D8E" w14:textId="77777777" w:rsidR="00252E35" w:rsidRPr="00252E35" w:rsidRDefault="00252E35" w:rsidP="00252E35">
      <w:pPr>
        <w:pStyle w:val="doc-ti"/>
        <w:numPr>
          <w:ilvl w:val="0"/>
          <w:numId w:val="7"/>
        </w:numPr>
        <w:spacing w:line="360" w:lineRule="auto"/>
        <w:jc w:val="both"/>
      </w:pPr>
      <w:r w:rsidRPr="00252E35">
        <w:t xml:space="preserve">wzrost intensywności otoczenia - rozpoznanie i utrzymanie połączeń między szkołą  a jej interesariuszami wymaga zwiększenia zaangażowania zasobów szkoły, </w:t>
      </w:r>
    </w:p>
    <w:p w14:paraId="5F2517EB" w14:textId="77777777" w:rsidR="00252E35" w:rsidRPr="00252E35" w:rsidRDefault="00252E35" w:rsidP="00252E35">
      <w:pPr>
        <w:pStyle w:val="doc-ti"/>
        <w:numPr>
          <w:ilvl w:val="0"/>
          <w:numId w:val="7"/>
        </w:numPr>
        <w:spacing w:line="360" w:lineRule="auto"/>
        <w:jc w:val="both"/>
      </w:pPr>
      <w:r w:rsidRPr="00252E35">
        <w:t xml:space="preserve">wzrost szybkości zmian - zmiany są szybkie i pojawiają się często, przez co szkoła musi nieustająco dostosowywać do zmieniających się warunków, </w:t>
      </w:r>
    </w:p>
    <w:p w14:paraId="2D136937" w14:textId="77777777" w:rsidR="00252E35" w:rsidRPr="00252E35" w:rsidRDefault="00252E35" w:rsidP="00252E35">
      <w:pPr>
        <w:pStyle w:val="doc-ti"/>
        <w:numPr>
          <w:ilvl w:val="0"/>
          <w:numId w:val="7"/>
        </w:numPr>
        <w:spacing w:line="360" w:lineRule="auto"/>
        <w:jc w:val="both"/>
      </w:pPr>
      <w:r w:rsidRPr="00252E35">
        <w:t>wzrost złożoności otoczenia - wydarzenia wokół szkoły stają się coraz mniej przewidywalne,</w:t>
      </w:r>
    </w:p>
    <w:p w14:paraId="5CB82A76" w14:textId="77777777" w:rsidR="00252E35" w:rsidRPr="00252E35" w:rsidRDefault="00252E35" w:rsidP="00252E35">
      <w:pPr>
        <w:pStyle w:val="doc-ti"/>
        <w:numPr>
          <w:ilvl w:val="0"/>
          <w:numId w:val="7"/>
        </w:numPr>
        <w:spacing w:line="360" w:lineRule="auto"/>
        <w:jc w:val="both"/>
      </w:pPr>
      <w:r w:rsidRPr="00252E35">
        <w:t xml:space="preserve">wzrost nowości zmian - coraz więcej różnych zmian w otoczeniu szkoły. </w:t>
      </w:r>
    </w:p>
    <w:p w14:paraId="69E43001" w14:textId="0FBE13D9" w:rsidR="00252E35" w:rsidRPr="00252E35" w:rsidRDefault="00252E35" w:rsidP="00252E35">
      <w:pPr>
        <w:pStyle w:val="Nagwek2"/>
        <w:spacing w:line="360" w:lineRule="auto"/>
        <w:rPr>
          <w:rFonts w:ascii="Times New Roman" w:hAnsi="Times New Roman" w:cs="Times New Roman"/>
          <w:b/>
          <w:bCs/>
          <w:color w:val="000000" w:themeColor="text1"/>
          <w:sz w:val="24"/>
          <w:szCs w:val="24"/>
        </w:rPr>
      </w:pPr>
      <w:r w:rsidRPr="00252E35">
        <w:rPr>
          <w:rFonts w:ascii="Times New Roman" w:hAnsi="Times New Roman" w:cs="Times New Roman"/>
          <w:b/>
          <w:bCs/>
          <w:color w:val="000000" w:themeColor="text1"/>
          <w:sz w:val="24"/>
          <w:szCs w:val="24"/>
        </w:rPr>
        <w:t>Zmiany w szkole</w:t>
      </w:r>
    </w:p>
    <w:p w14:paraId="2041D5A6" w14:textId="3B98A44F" w:rsidR="00252E35" w:rsidRPr="00252E35" w:rsidRDefault="00252E35" w:rsidP="00252E35">
      <w:pPr>
        <w:pStyle w:val="doc-ti"/>
        <w:spacing w:line="360" w:lineRule="auto"/>
        <w:jc w:val="both"/>
        <w:rPr>
          <w:noProof/>
        </w:rPr>
      </w:pPr>
      <w:r w:rsidRPr="00252E35">
        <w:rPr>
          <w:noProof/>
        </w:rPr>
        <w:t xml:space="preserve">Zmiany wokół szkoły są więc rzeczą nieuchronną. Z tego powodu szkoła musi cały czas ewoluować. Aby reakcje na zmiany w szkołach były mniej negatywne wskazane byłoby, aby zmierzały one w swoich działaniach w kierunku szkoły elastycznej (tabela I). Taki model edukacji skoncentrowany jest na uczniu i dostosowywaniu procesu nauczania na potrzeby </w:t>
      </w:r>
      <w:r w:rsidRPr="00252E35">
        <w:rPr>
          <w:noProof/>
        </w:rPr>
        <w:lastRenderedPageBreak/>
        <w:t>ucznia w parnerstwie z szeregiem interesariuszy wewnętrznych i zewnętrznych szkoły. Wiąże się z ideą deskolaryzacji,której symptomy to</w:t>
      </w:r>
      <w:r w:rsidRPr="00252E35">
        <w:rPr>
          <w:rStyle w:val="Odwoanieprzypisudolnego"/>
          <w:noProof/>
        </w:rPr>
        <w:footnoteReference w:id="8"/>
      </w:r>
      <w:r w:rsidRPr="00252E35">
        <w:rPr>
          <w:noProof/>
        </w:rPr>
        <w:t>:</w:t>
      </w:r>
    </w:p>
    <w:p w14:paraId="18AE008C" w14:textId="77777777" w:rsidR="00252E35" w:rsidRPr="00252E35" w:rsidRDefault="00252E35" w:rsidP="00252E35">
      <w:pPr>
        <w:pStyle w:val="doc-ti"/>
        <w:numPr>
          <w:ilvl w:val="0"/>
          <w:numId w:val="7"/>
        </w:numPr>
        <w:spacing w:line="360" w:lineRule="auto"/>
        <w:jc w:val="both"/>
        <w:rPr>
          <w:noProof/>
        </w:rPr>
      </w:pPr>
      <w:r w:rsidRPr="00252E35">
        <w:rPr>
          <w:noProof/>
        </w:rPr>
        <w:t>nauczanie nie jest synonimem pouczania, czu instruowania,</w:t>
      </w:r>
    </w:p>
    <w:p w14:paraId="6657BA06" w14:textId="77777777" w:rsidR="00252E35" w:rsidRPr="00252E35" w:rsidRDefault="00252E35" w:rsidP="00252E35">
      <w:pPr>
        <w:pStyle w:val="doc-ti"/>
        <w:numPr>
          <w:ilvl w:val="0"/>
          <w:numId w:val="7"/>
        </w:numPr>
        <w:spacing w:line="360" w:lineRule="auto"/>
        <w:jc w:val="both"/>
        <w:rPr>
          <w:noProof/>
        </w:rPr>
      </w:pPr>
      <w:r w:rsidRPr="00252E35">
        <w:rPr>
          <w:noProof/>
        </w:rPr>
        <w:t>szkoła jako niejedyne miejsce dla edukacji (różne przestrzenie i okazje jako szansa na rozwój kompetencji),</w:t>
      </w:r>
    </w:p>
    <w:p w14:paraId="4E8856BD" w14:textId="77777777" w:rsidR="00252E35" w:rsidRPr="00252E35" w:rsidRDefault="00252E35" w:rsidP="00252E35">
      <w:pPr>
        <w:pStyle w:val="doc-ti"/>
        <w:numPr>
          <w:ilvl w:val="0"/>
          <w:numId w:val="7"/>
        </w:numPr>
        <w:spacing w:line="360" w:lineRule="auto"/>
        <w:jc w:val="both"/>
        <w:rPr>
          <w:noProof/>
        </w:rPr>
      </w:pPr>
      <w:r w:rsidRPr="00252E35">
        <w:rPr>
          <w:noProof/>
        </w:rPr>
        <w:t>aktywna rola rodziców w procesie nauczania,</w:t>
      </w:r>
    </w:p>
    <w:p w14:paraId="5F747357" w14:textId="77777777" w:rsidR="00252E35" w:rsidRPr="00252E35" w:rsidRDefault="00252E35" w:rsidP="00252E35">
      <w:pPr>
        <w:pStyle w:val="doc-ti"/>
        <w:numPr>
          <w:ilvl w:val="0"/>
          <w:numId w:val="7"/>
        </w:numPr>
        <w:spacing w:line="360" w:lineRule="auto"/>
        <w:jc w:val="both"/>
        <w:rPr>
          <w:noProof/>
        </w:rPr>
      </w:pPr>
      <w:r w:rsidRPr="00252E35">
        <w:rPr>
          <w:noProof/>
        </w:rPr>
        <w:t xml:space="preserve">aktywna rola przyszłych potencjalnych pracodawców, </w:t>
      </w:r>
    </w:p>
    <w:p w14:paraId="1179B2EA" w14:textId="77777777" w:rsidR="00252E35" w:rsidRPr="00252E35" w:rsidRDefault="00252E35" w:rsidP="00252E35">
      <w:pPr>
        <w:pStyle w:val="doc-ti"/>
        <w:numPr>
          <w:ilvl w:val="0"/>
          <w:numId w:val="7"/>
        </w:numPr>
        <w:spacing w:line="360" w:lineRule="auto"/>
        <w:jc w:val="both"/>
        <w:rPr>
          <w:noProof/>
        </w:rPr>
      </w:pPr>
      <w:r w:rsidRPr="00252E35">
        <w:rPr>
          <w:noProof/>
        </w:rPr>
        <w:t>stymulujące wspracie uczniów w odnajdywaniu własnych możliwości i talentów, indywidualizacja procesu nauczania,</w:t>
      </w:r>
    </w:p>
    <w:p w14:paraId="04D17A7A" w14:textId="77777777" w:rsidR="00252E35" w:rsidRPr="00252E35" w:rsidRDefault="00252E35" w:rsidP="00252E35">
      <w:pPr>
        <w:pStyle w:val="doc-ti"/>
        <w:numPr>
          <w:ilvl w:val="0"/>
          <w:numId w:val="7"/>
        </w:numPr>
        <w:spacing w:line="360" w:lineRule="auto"/>
        <w:jc w:val="both"/>
        <w:rPr>
          <w:noProof/>
        </w:rPr>
      </w:pPr>
      <w:r w:rsidRPr="00252E35">
        <w:rPr>
          <w:noProof/>
        </w:rPr>
        <w:t>nauczyciel nie jest niezbędny w procesie nauczania,</w:t>
      </w:r>
    </w:p>
    <w:p w14:paraId="73544806" w14:textId="77777777" w:rsidR="00252E35" w:rsidRPr="00252E35" w:rsidRDefault="00252E35" w:rsidP="00252E35">
      <w:pPr>
        <w:pStyle w:val="doc-ti"/>
        <w:numPr>
          <w:ilvl w:val="0"/>
          <w:numId w:val="7"/>
        </w:numPr>
        <w:spacing w:line="360" w:lineRule="auto"/>
        <w:jc w:val="both"/>
        <w:rPr>
          <w:noProof/>
        </w:rPr>
      </w:pPr>
      <w:r w:rsidRPr="00252E35">
        <w:rPr>
          <w:noProof/>
        </w:rPr>
        <w:t>wykorzystanie nowoczesnych modeli, metod, form nauczania przy równoczesnym nie rezygnowaniu z pozytywnych dokonań szkoły tradycyjnej,</w:t>
      </w:r>
    </w:p>
    <w:p w14:paraId="035C06BE" w14:textId="77777777" w:rsidR="00252E35" w:rsidRPr="00252E35" w:rsidRDefault="00252E35" w:rsidP="00252E35">
      <w:pPr>
        <w:pStyle w:val="doc-ti"/>
        <w:numPr>
          <w:ilvl w:val="0"/>
          <w:numId w:val="7"/>
        </w:numPr>
        <w:spacing w:line="360" w:lineRule="auto"/>
        <w:jc w:val="both"/>
        <w:rPr>
          <w:noProof/>
        </w:rPr>
      </w:pPr>
      <w:r w:rsidRPr="00252E35">
        <w:rPr>
          <w:noProof/>
        </w:rPr>
        <w:t>zaangazowanie uczniów w proces odkrywania świata (wzajemne uczenie się uczniów, uczniowie jako poszukiwacze wiedzy, współtworzenie narzędzi do uczenia się, przygotowywanie narzędzi, podręczników, materiałów multimedialnych itd.),</w:t>
      </w:r>
    </w:p>
    <w:p w14:paraId="7C7B6489" w14:textId="77777777" w:rsidR="00252E35" w:rsidRPr="00252E35" w:rsidRDefault="00252E35" w:rsidP="00252E35">
      <w:pPr>
        <w:pStyle w:val="doc-ti"/>
        <w:numPr>
          <w:ilvl w:val="0"/>
          <w:numId w:val="7"/>
        </w:numPr>
        <w:spacing w:line="360" w:lineRule="auto"/>
        <w:jc w:val="both"/>
        <w:rPr>
          <w:noProof/>
        </w:rPr>
      </w:pPr>
      <w:r w:rsidRPr="00252E35">
        <w:rPr>
          <w:noProof/>
        </w:rPr>
        <w:t>zmiana modelu organizacji i oceniania szkoły oraz roli nauczyciela.</w:t>
      </w:r>
    </w:p>
    <w:p w14:paraId="1941DFCC" w14:textId="2D849EAF" w:rsidR="00156875" w:rsidRPr="00252E35" w:rsidRDefault="008A7028" w:rsidP="00DC4E7F">
      <w:pPr>
        <w:autoSpaceDE w:val="0"/>
        <w:autoSpaceDN w:val="0"/>
        <w:adjustRightInd w:val="0"/>
        <w:spacing w:after="0" w:line="240" w:lineRule="auto"/>
        <w:jc w:val="both"/>
        <w:rPr>
          <w:rFonts w:ascii="Times New Roman" w:hAnsi="Times New Roman" w:cs="Times New Roman"/>
          <w:sz w:val="24"/>
          <w:szCs w:val="24"/>
        </w:rPr>
      </w:pPr>
      <w:r w:rsidRPr="00252E35">
        <w:rPr>
          <w:rFonts w:ascii="Times New Roman" w:hAnsi="Times New Roman" w:cs="Times New Roman"/>
        </w:rPr>
        <w:t xml:space="preserve"> </w:t>
      </w:r>
    </w:p>
    <w:p w14:paraId="2C644038" w14:textId="41A93FA7" w:rsidR="006D02A0" w:rsidRPr="00252E35" w:rsidRDefault="006D02A0" w:rsidP="006D02A0">
      <w:pPr>
        <w:pStyle w:val="Nagwek2"/>
        <w:spacing w:line="360" w:lineRule="auto"/>
        <w:rPr>
          <w:rFonts w:ascii="Times New Roman" w:hAnsi="Times New Roman" w:cs="Times New Roman"/>
          <w:b/>
          <w:bCs/>
          <w:color w:val="000000" w:themeColor="text1"/>
          <w:sz w:val="24"/>
          <w:szCs w:val="24"/>
        </w:rPr>
      </w:pPr>
      <w:r w:rsidRPr="00252E35">
        <w:rPr>
          <w:rFonts w:ascii="Times New Roman" w:hAnsi="Times New Roman" w:cs="Times New Roman"/>
          <w:b/>
          <w:bCs/>
          <w:color w:val="000000" w:themeColor="text1"/>
          <w:sz w:val="24"/>
          <w:szCs w:val="24"/>
        </w:rPr>
        <w:t>P</w:t>
      </w:r>
      <w:r w:rsidR="00AD25B4" w:rsidRPr="00252E35">
        <w:rPr>
          <w:rFonts w:ascii="Times New Roman" w:hAnsi="Times New Roman" w:cs="Times New Roman"/>
          <w:b/>
          <w:bCs/>
          <w:color w:val="000000" w:themeColor="text1"/>
          <w:sz w:val="24"/>
          <w:szCs w:val="24"/>
        </w:rPr>
        <w:t>odsumowanie</w:t>
      </w:r>
    </w:p>
    <w:p w14:paraId="51F0A90C" w14:textId="6125C850" w:rsidR="00152B47" w:rsidRDefault="00252E35" w:rsidP="00152B47">
      <w:pPr>
        <w:pStyle w:val="doc-ti"/>
        <w:spacing w:line="360" w:lineRule="auto"/>
        <w:jc w:val="both"/>
        <w:rPr>
          <w:noProof/>
        </w:rPr>
      </w:pPr>
      <w:r>
        <w:rPr>
          <w:noProof/>
        </w:rPr>
        <w:t xml:space="preserve">Szkoła jest jednym z elementów </w:t>
      </w:r>
      <w:r w:rsidR="00152B47">
        <w:rPr>
          <w:noProof/>
        </w:rPr>
        <w:t xml:space="preserve">życia społęcznego w kraju. Należy pamiętać, że jest to kluczowy element funkcjnowania nowoczesnego państwa. </w:t>
      </w:r>
      <w:r w:rsidR="00152B47" w:rsidRPr="00152B47">
        <w:rPr>
          <w:noProof/>
        </w:rPr>
        <w:t xml:space="preserve">W </w:t>
      </w:r>
      <w:r w:rsidR="00152B47">
        <w:rPr>
          <w:noProof/>
        </w:rPr>
        <w:t xml:space="preserve">Polsce w </w:t>
      </w:r>
      <w:r w:rsidR="00152B47" w:rsidRPr="00152B47">
        <w:rPr>
          <w:noProof/>
        </w:rPr>
        <w:t>roku szkolnym 2020/21 w szkołach każdego typu kształciło się 4,9 mln dzieci, młodzieży i dorosłych, co stanowiło 12,9% ludności kraju.</w:t>
      </w:r>
      <w:r w:rsidR="00152B47">
        <w:rPr>
          <w:noProof/>
        </w:rPr>
        <w:t xml:space="preserve"> Uczęszacali oni do ponad 14 tys. szkół podstawowych, ponad 1,6 tys. szkół branżowych, blisko 3,3 tys. liceów ogólnokształcących i blisko 1,9 tys techników</w:t>
      </w:r>
      <w:r w:rsidR="00FA0CED">
        <w:rPr>
          <w:rStyle w:val="Odwoanieprzypisudolnego"/>
          <w:noProof/>
        </w:rPr>
        <w:footnoteReference w:id="9"/>
      </w:r>
      <w:r w:rsidR="00152B47">
        <w:rPr>
          <w:noProof/>
        </w:rPr>
        <w:t xml:space="preserve">. </w:t>
      </w:r>
      <w:r w:rsidR="00FA0CED">
        <w:rPr>
          <w:noProof/>
        </w:rPr>
        <w:t xml:space="preserve">Te liczby pokazują jak bardzo szkoły kreują współcześną rzeczywistość i przyszły krajobraz kraju. Z uwagi na to, że otoczenie szkoły podlega nieustannym zmianom, to także same szkoły muszą ewoluować w odpowiedzi na te zmiany. Zmiana jako take jest zajwiskiem trudnym – na poziomie systemowym, organizacyjntm i indywidualnym, ale jest niezbędna jako czynnik </w:t>
      </w:r>
      <w:r w:rsidR="00FA0CED">
        <w:rPr>
          <w:noProof/>
        </w:rPr>
        <w:lastRenderedPageBreak/>
        <w:t>wpływający na sukces systemu edukacji, czego dowodem może być zadwolenie interesariuszy szkoły, w tym w szzególności uczniów i ich przyszła ścieżka edukacjyno-zawodowa.</w:t>
      </w:r>
    </w:p>
    <w:p w14:paraId="48E25D98" w14:textId="77777777" w:rsidR="00FA0CED" w:rsidRPr="00252E35" w:rsidRDefault="00FA0CED" w:rsidP="00152B47">
      <w:pPr>
        <w:pStyle w:val="doc-ti"/>
        <w:spacing w:line="360" w:lineRule="auto"/>
        <w:jc w:val="both"/>
        <w:rPr>
          <w:noProof/>
        </w:rPr>
      </w:pPr>
    </w:p>
    <w:p w14:paraId="622ED372" w14:textId="387D2DE3" w:rsidR="006D02A0" w:rsidRPr="00252E35" w:rsidRDefault="006D02A0" w:rsidP="00156875">
      <w:pPr>
        <w:pStyle w:val="Nagwek2"/>
        <w:spacing w:line="360" w:lineRule="auto"/>
        <w:rPr>
          <w:rFonts w:ascii="Times New Roman" w:hAnsi="Times New Roman" w:cs="Times New Roman"/>
          <w:b/>
          <w:bCs/>
          <w:color w:val="000000" w:themeColor="text1"/>
          <w:sz w:val="24"/>
          <w:szCs w:val="24"/>
        </w:rPr>
      </w:pPr>
      <w:r w:rsidRPr="00252E35">
        <w:rPr>
          <w:rFonts w:ascii="Times New Roman" w:hAnsi="Times New Roman" w:cs="Times New Roman"/>
          <w:b/>
          <w:bCs/>
          <w:color w:val="000000" w:themeColor="text1"/>
          <w:sz w:val="24"/>
          <w:szCs w:val="24"/>
        </w:rPr>
        <w:t xml:space="preserve">Bibliografia </w:t>
      </w:r>
    </w:p>
    <w:p w14:paraId="04800A37" w14:textId="77777777" w:rsidR="003F0FC1" w:rsidRPr="003F0FC1" w:rsidRDefault="003F0FC1" w:rsidP="003F0FC1">
      <w:pPr>
        <w:pStyle w:val="Tekstprzypisudolnego"/>
        <w:numPr>
          <w:ilvl w:val="0"/>
          <w:numId w:val="8"/>
        </w:numPr>
        <w:jc w:val="both"/>
        <w:rPr>
          <w:rFonts w:ascii="Times New Roman" w:hAnsi="Times New Roman" w:cs="Times New Roman"/>
          <w:sz w:val="24"/>
          <w:szCs w:val="24"/>
        </w:rPr>
      </w:pPr>
      <w:proofErr w:type="spellStart"/>
      <w:r w:rsidRPr="003F0FC1">
        <w:rPr>
          <w:rFonts w:ascii="Times New Roman" w:hAnsi="Times New Roman" w:cs="Times New Roman"/>
          <w:sz w:val="24"/>
          <w:szCs w:val="24"/>
        </w:rPr>
        <w:t>Ansoff</w:t>
      </w:r>
      <w:proofErr w:type="spellEnd"/>
      <w:r w:rsidRPr="003F0FC1">
        <w:rPr>
          <w:rFonts w:ascii="Times New Roman" w:hAnsi="Times New Roman" w:cs="Times New Roman"/>
          <w:sz w:val="24"/>
          <w:szCs w:val="24"/>
        </w:rPr>
        <w:t xml:space="preserve"> H., Zarządzanie strategiczne, Polskie Wydawnictwo Ekonomiczne, Warszawa 1985.</w:t>
      </w:r>
    </w:p>
    <w:p w14:paraId="3F14964E" w14:textId="77777777" w:rsidR="003F0FC1" w:rsidRPr="003F0FC1" w:rsidRDefault="003F0FC1" w:rsidP="003F0FC1">
      <w:pPr>
        <w:pStyle w:val="Tekstprzypisudolnego"/>
        <w:numPr>
          <w:ilvl w:val="0"/>
          <w:numId w:val="8"/>
        </w:numPr>
        <w:jc w:val="both"/>
        <w:rPr>
          <w:rFonts w:ascii="Times New Roman" w:hAnsi="Times New Roman" w:cs="Times New Roman"/>
          <w:sz w:val="24"/>
          <w:szCs w:val="24"/>
        </w:rPr>
      </w:pPr>
      <w:proofErr w:type="spellStart"/>
      <w:r w:rsidRPr="003F0FC1">
        <w:rPr>
          <w:rFonts w:ascii="Times New Roman" w:hAnsi="Times New Roman" w:cs="Times New Roman"/>
          <w:sz w:val="24"/>
          <w:szCs w:val="24"/>
        </w:rPr>
        <w:t>Haffer</w:t>
      </w:r>
      <w:proofErr w:type="spellEnd"/>
      <w:r w:rsidRPr="003F0FC1">
        <w:rPr>
          <w:rFonts w:ascii="Times New Roman" w:hAnsi="Times New Roman" w:cs="Times New Roman"/>
          <w:sz w:val="24"/>
          <w:szCs w:val="24"/>
        </w:rPr>
        <w:t xml:space="preserve"> J., Skuteczność zarządzania projektami w przedsiębiorstwach działających w Polsce, Towarzystwo Naukowe Organizacji i Kierowania, Toruń 2009.</w:t>
      </w:r>
    </w:p>
    <w:p w14:paraId="13D6FC44" w14:textId="77777777" w:rsidR="003F0FC1" w:rsidRPr="003F0FC1" w:rsidRDefault="003F0FC1" w:rsidP="003F0FC1">
      <w:pPr>
        <w:pStyle w:val="Tekstprzypisudolnego"/>
        <w:numPr>
          <w:ilvl w:val="0"/>
          <w:numId w:val="8"/>
        </w:numPr>
        <w:jc w:val="both"/>
        <w:rPr>
          <w:rFonts w:ascii="Times New Roman" w:hAnsi="Times New Roman" w:cs="Times New Roman"/>
          <w:sz w:val="24"/>
          <w:szCs w:val="24"/>
        </w:rPr>
      </w:pPr>
      <w:hyperlink r:id="rId8" w:history="1">
        <w:r w:rsidRPr="003F0FC1">
          <w:rPr>
            <w:rFonts w:ascii="Times New Roman" w:hAnsi="Times New Roman" w:cs="Times New Roman"/>
            <w:sz w:val="24"/>
            <w:szCs w:val="24"/>
          </w:rPr>
          <w:t>https://www.edubaza.pl/s/3468/80886-Liczba-uczniow-w-Polsce.htm</w:t>
        </w:r>
      </w:hyperlink>
      <w:r w:rsidRPr="003F0FC1">
        <w:rPr>
          <w:rFonts w:ascii="Times New Roman" w:hAnsi="Times New Roman" w:cs="Times New Roman"/>
          <w:sz w:val="24"/>
          <w:szCs w:val="24"/>
        </w:rPr>
        <w:t xml:space="preserve">. </w:t>
      </w:r>
    </w:p>
    <w:p w14:paraId="39986C95" w14:textId="77777777" w:rsidR="003F0FC1" w:rsidRPr="003F0FC1" w:rsidRDefault="003F0FC1" w:rsidP="003F0FC1">
      <w:pPr>
        <w:pStyle w:val="Tekstprzypisudolnego"/>
        <w:numPr>
          <w:ilvl w:val="0"/>
          <w:numId w:val="8"/>
        </w:numPr>
        <w:jc w:val="both"/>
        <w:rPr>
          <w:rFonts w:ascii="Times New Roman" w:hAnsi="Times New Roman" w:cs="Times New Roman"/>
          <w:sz w:val="24"/>
          <w:szCs w:val="24"/>
        </w:rPr>
      </w:pPr>
      <w:hyperlink r:id="rId9" w:history="1">
        <w:r w:rsidRPr="003F0FC1">
          <w:rPr>
            <w:rFonts w:ascii="Times New Roman" w:hAnsi="Times New Roman" w:cs="Times New Roman"/>
            <w:sz w:val="24"/>
            <w:szCs w:val="24"/>
          </w:rPr>
          <w:t>https://www.edunews.pl/badania-i-debaty/opinie/3709-szkola-do-fundamentalnej-zmiany</w:t>
        </w:r>
      </w:hyperlink>
      <w:r w:rsidRPr="003F0FC1">
        <w:rPr>
          <w:rFonts w:ascii="Times New Roman" w:hAnsi="Times New Roman" w:cs="Times New Roman"/>
          <w:sz w:val="24"/>
          <w:szCs w:val="24"/>
        </w:rPr>
        <w:t>.</w:t>
      </w:r>
    </w:p>
    <w:p w14:paraId="278A6C98" w14:textId="77777777" w:rsidR="003F0FC1" w:rsidRPr="003F0FC1" w:rsidRDefault="003F0FC1" w:rsidP="003F0FC1">
      <w:pPr>
        <w:pStyle w:val="Tekstprzypisudolnego"/>
        <w:numPr>
          <w:ilvl w:val="0"/>
          <w:numId w:val="8"/>
        </w:numPr>
        <w:jc w:val="both"/>
        <w:rPr>
          <w:rFonts w:ascii="Times New Roman" w:hAnsi="Times New Roman" w:cs="Times New Roman"/>
          <w:sz w:val="24"/>
          <w:szCs w:val="24"/>
        </w:rPr>
      </w:pPr>
      <w:r w:rsidRPr="003F0FC1">
        <w:rPr>
          <w:rFonts w:ascii="Times New Roman" w:hAnsi="Times New Roman" w:cs="Times New Roman"/>
          <w:sz w:val="24"/>
          <w:szCs w:val="24"/>
        </w:rPr>
        <w:t xml:space="preserve">Marek S., </w:t>
      </w:r>
      <w:proofErr w:type="spellStart"/>
      <w:r w:rsidRPr="003F0FC1">
        <w:rPr>
          <w:rFonts w:ascii="Times New Roman" w:hAnsi="Times New Roman" w:cs="Times New Roman"/>
          <w:sz w:val="24"/>
          <w:szCs w:val="24"/>
        </w:rPr>
        <w:t>Białasiewicz</w:t>
      </w:r>
      <w:proofErr w:type="spellEnd"/>
      <w:r w:rsidRPr="003F0FC1">
        <w:rPr>
          <w:rFonts w:ascii="Times New Roman" w:hAnsi="Times New Roman" w:cs="Times New Roman"/>
          <w:sz w:val="24"/>
          <w:szCs w:val="24"/>
        </w:rPr>
        <w:t xml:space="preserve"> M. (red.), Podstawy nauki o organizacji, Polskie Wydawnictwo Ekonomiczne, Warszawa 2008.</w:t>
      </w:r>
    </w:p>
    <w:p w14:paraId="0474BC3E" w14:textId="77777777" w:rsidR="003F0FC1" w:rsidRPr="003F0FC1" w:rsidRDefault="003F0FC1" w:rsidP="003F0FC1">
      <w:pPr>
        <w:pStyle w:val="Tekstprzypisudolnego"/>
        <w:numPr>
          <w:ilvl w:val="0"/>
          <w:numId w:val="8"/>
        </w:numPr>
        <w:jc w:val="both"/>
        <w:rPr>
          <w:rFonts w:ascii="Times New Roman" w:hAnsi="Times New Roman" w:cs="Times New Roman"/>
          <w:sz w:val="24"/>
          <w:szCs w:val="24"/>
        </w:rPr>
      </w:pPr>
      <w:proofErr w:type="spellStart"/>
      <w:r w:rsidRPr="003F0FC1">
        <w:rPr>
          <w:rFonts w:ascii="Times New Roman" w:hAnsi="Times New Roman" w:cs="Times New Roman"/>
          <w:sz w:val="24"/>
          <w:szCs w:val="24"/>
        </w:rPr>
        <w:t>Meighan</w:t>
      </w:r>
      <w:proofErr w:type="spellEnd"/>
      <w:r w:rsidRPr="003F0FC1">
        <w:rPr>
          <w:rFonts w:ascii="Times New Roman" w:hAnsi="Times New Roman" w:cs="Times New Roman"/>
          <w:sz w:val="24"/>
          <w:szCs w:val="24"/>
        </w:rPr>
        <w:t xml:space="preserve"> R., Edukacja elastyczna, Wydawnictwo Stowarzyszenie Nasza Szkoła, bmw 1992.</w:t>
      </w:r>
    </w:p>
    <w:p w14:paraId="0D6652C5" w14:textId="77777777" w:rsidR="003F0FC1" w:rsidRPr="003F0FC1" w:rsidRDefault="003F0FC1" w:rsidP="003F0FC1">
      <w:pPr>
        <w:pStyle w:val="Tekstprzypisudolnego"/>
        <w:numPr>
          <w:ilvl w:val="0"/>
          <w:numId w:val="8"/>
        </w:numPr>
        <w:jc w:val="both"/>
        <w:rPr>
          <w:rFonts w:ascii="Times New Roman" w:hAnsi="Times New Roman" w:cs="Times New Roman"/>
          <w:sz w:val="24"/>
          <w:szCs w:val="24"/>
        </w:rPr>
      </w:pPr>
      <w:proofErr w:type="spellStart"/>
      <w:r w:rsidRPr="003F0FC1">
        <w:rPr>
          <w:rFonts w:ascii="Times New Roman" w:hAnsi="Times New Roman" w:cs="Times New Roman"/>
          <w:sz w:val="24"/>
          <w:szCs w:val="24"/>
        </w:rPr>
        <w:t>P</w:t>
      </w:r>
      <w:r w:rsidRPr="003F0FC1">
        <w:rPr>
          <w:rFonts w:ascii="Times New Roman" w:hAnsi="Times New Roman" w:cs="Times New Roman"/>
          <w:sz w:val="24"/>
          <w:szCs w:val="24"/>
        </w:rPr>
        <w:t>enc</w:t>
      </w:r>
      <w:proofErr w:type="spellEnd"/>
      <w:r w:rsidRPr="003F0FC1">
        <w:rPr>
          <w:rFonts w:ascii="Times New Roman" w:hAnsi="Times New Roman" w:cs="Times New Roman"/>
          <w:sz w:val="24"/>
          <w:szCs w:val="24"/>
        </w:rPr>
        <w:t xml:space="preserve"> J., Sztuka skutecznego zarządzania, Oficyna Ekonomiczna, Kraków 2006.</w:t>
      </w:r>
    </w:p>
    <w:p w14:paraId="2982048B" w14:textId="77777777" w:rsidR="003F0FC1" w:rsidRPr="003F0FC1" w:rsidRDefault="003F0FC1" w:rsidP="003F0FC1">
      <w:pPr>
        <w:pStyle w:val="Tekstprzypisudolnego"/>
        <w:numPr>
          <w:ilvl w:val="0"/>
          <w:numId w:val="8"/>
        </w:numPr>
        <w:jc w:val="both"/>
        <w:rPr>
          <w:rFonts w:ascii="Times New Roman" w:hAnsi="Times New Roman" w:cs="Times New Roman"/>
          <w:sz w:val="24"/>
          <w:szCs w:val="24"/>
        </w:rPr>
      </w:pPr>
      <w:r w:rsidRPr="003F0FC1">
        <w:rPr>
          <w:rFonts w:ascii="Times New Roman" w:hAnsi="Times New Roman" w:cs="Times New Roman"/>
          <w:sz w:val="24"/>
          <w:szCs w:val="24"/>
        </w:rPr>
        <w:t xml:space="preserve">Zalecenia Parlamentu Europejskiego i Rady z dnia 18 grudnia 2006 r. w sprawie kompetencji kluczowych w procesie uczenia się przez całe życie, </w:t>
      </w:r>
      <w:proofErr w:type="spellStart"/>
      <w:r w:rsidRPr="003F0FC1">
        <w:rPr>
          <w:rFonts w:ascii="Times New Roman" w:hAnsi="Times New Roman" w:cs="Times New Roman"/>
          <w:sz w:val="24"/>
          <w:szCs w:val="24"/>
        </w:rPr>
        <w:t>Official</w:t>
      </w:r>
      <w:proofErr w:type="spellEnd"/>
      <w:r w:rsidRPr="003F0FC1">
        <w:rPr>
          <w:rFonts w:ascii="Times New Roman" w:hAnsi="Times New Roman" w:cs="Times New Roman"/>
          <w:sz w:val="24"/>
          <w:szCs w:val="24"/>
        </w:rPr>
        <w:t xml:space="preserve"> </w:t>
      </w:r>
      <w:proofErr w:type="spellStart"/>
      <w:r w:rsidRPr="003F0FC1">
        <w:rPr>
          <w:rFonts w:ascii="Times New Roman" w:hAnsi="Times New Roman" w:cs="Times New Roman"/>
          <w:sz w:val="24"/>
          <w:szCs w:val="24"/>
        </w:rPr>
        <w:t>Journal</w:t>
      </w:r>
      <w:proofErr w:type="spellEnd"/>
      <w:r w:rsidRPr="003F0FC1">
        <w:rPr>
          <w:rFonts w:ascii="Times New Roman" w:hAnsi="Times New Roman" w:cs="Times New Roman"/>
          <w:sz w:val="24"/>
          <w:szCs w:val="24"/>
        </w:rPr>
        <w:t xml:space="preserve"> of the </w:t>
      </w:r>
      <w:proofErr w:type="spellStart"/>
      <w:r w:rsidRPr="003F0FC1">
        <w:rPr>
          <w:rFonts w:ascii="Times New Roman" w:hAnsi="Times New Roman" w:cs="Times New Roman"/>
          <w:sz w:val="24"/>
          <w:szCs w:val="24"/>
        </w:rPr>
        <w:t>European</w:t>
      </w:r>
      <w:proofErr w:type="spellEnd"/>
      <w:r w:rsidRPr="003F0FC1">
        <w:rPr>
          <w:rFonts w:ascii="Times New Roman" w:hAnsi="Times New Roman" w:cs="Times New Roman"/>
          <w:sz w:val="24"/>
          <w:szCs w:val="24"/>
        </w:rPr>
        <w:t xml:space="preserve"> Union, nr L 398/10 z dn. 30.12.2006.</w:t>
      </w:r>
    </w:p>
    <w:p w14:paraId="4281F0F3" w14:textId="3ED61783" w:rsidR="00AF1184" w:rsidRPr="003F0FC1" w:rsidRDefault="00AF1184" w:rsidP="003F0FC1">
      <w:pPr>
        <w:pStyle w:val="Tekstprzypisudolnego"/>
        <w:jc w:val="both"/>
        <w:rPr>
          <w:rFonts w:ascii="Times New Roman" w:hAnsi="Times New Roman" w:cs="Times New Roman"/>
          <w:sz w:val="24"/>
          <w:szCs w:val="24"/>
        </w:rPr>
      </w:pPr>
    </w:p>
    <w:sectPr w:rsidR="00AF1184" w:rsidRPr="003F0FC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542C" w14:textId="77777777" w:rsidR="000A7B16" w:rsidRDefault="000A7B16" w:rsidP="001D6CFC">
      <w:pPr>
        <w:spacing w:after="0" w:line="240" w:lineRule="auto"/>
      </w:pPr>
      <w:r>
        <w:separator/>
      </w:r>
    </w:p>
  </w:endnote>
  <w:endnote w:type="continuationSeparator" w:id="0">
    <w:p w14:paraId="0D858A45" w14:textId="77777777" w:rsidR="000A7B16" w:rsidRDefault="000A7B16"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vivl555EU">
    <w:altName w:val="Cambria"/>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AC2B" w14:textId="4A538ECA" w:rsidR="001D6CFC" w:rsidRDefault="001D6CFC">
    <w:pPr>
      <w:pStyle w:val="Stopka"/>
    </w:pPr>
    <w:r w:rsidRPr="005147AA">
      <w:rPr>
        <w:noProof/>
        <w:lang w:eastAsia="pl-PL"/>
      </w:rPr>
      <w:drawing>
        <wp:inline distT="0" distB="0" distL="0" distR="0" wp14:anchorId="0299BF6B" wp14:editId="5F510BC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E1F6" w14:textId="77777777" w:rsidR="000A7B16" w:rsidRDefault="000A7B16" w:rsidP="001D6CFC">
      <w:pPr>
        <w:spacing w:after="0" w:line="240" w:lineRule="auto"/>
      </w:pPr>
      <w:r>
        <w:separator/>
      </w:r>
    </w:p>
  </w:footnote>
  <w:footnote w:type="continuationSeparator" w:id="0">
    <w:p w14:paraId="5363CAFE" w14:textId="77777777" w:rsidR="000A7B16" w:rsidRDefault="000A7B16" w:rsidP="001D6CFC">
      <w:pPr>
        <w:spacing w:after="0" w:line="240" w:lineRule="auto"/>
      </w:pPr>
      <w:r>
        <w:continuationSeparator/>
      </w:r>
    </w:p>
  </w:footnote>
  <w:footnote w:id="1">
    <w:p w14:paraId="405004C0" w14:textId="327EE2E8" w:rsidR="003A08FC" w:rsidRPr="00FA0CED" w:rsidRDefault="003A08FC" w:rsidP="003A08FC">
      <w:pPr>
        <w:pStyle w:val="Tekstprzypisudolnego"/>
        <w:jc w:val="both"/>
        <w:rPr>
          <w:rFonts w:ascii="Times New Roman" w:hAnsi="Times New Roman" w:cs="Times New Roman"/>
        </w:rPr>
      </w:pPr>
      <w:r w:rsidRPr="00FA0CED">
        <w:rPr>
          <w:rStyle w:val="Odwoanieprzypisudolnego"/>
          <w:rFonts w:ascii="Times New Roman" w:hAnsi="Times New Roman" w:cs="Times New Roman"/>
        </w:rPr>
        <w:footnoteRef/>
      </w:r>
      <w:r w:rsidRPr="00FA0CED">
        <w:rPr>
          <w:rFonts w:ascii="Times New Roman" w:hAnsi="Times New Roman" w:cs="Times New Roman"/>
        </w:rPr>
        <w:t xml:space="preserve"> Sfinansowano ze środków projektu „Nowoczesny model współpracy szkół zawodowych ze szkołami wyższymi i pracodawcami w zakresie kształcenia w zawodach z grupy branżowej teleinformatycznej (technik telekomunikacji, technik informatyk)”, akronim: MEN-IT nr POWR.02.15.00-00-2009/18</w:t>
      </w:r>
    </w:p>
  </w:footnote>
  <w:footnote w:id="2">
    <w:p w14:paraId="24CCE0D8" w14:textId="77777777" w:rsidR="00252E35" w:rsidRPr="00FA0CED" w:rsidRDefault="00252E35" w:rsidP="00252E35">
      <w:pPr>
        <w:pStyle w:val="Tekstprzypisudolnego"/>
        <w:jc w:val="both"/>
        <w:rPr>
          <w:rFonts w:ascii="Times New Roman" w:hAnsi="Times New Roman" w:cs="Times New Roman"/>
        </w:rPr>
      </w:pPr>
      <w:r w:rsidRPr="00FA0CED">
        <w:rPr>
          <w:rStyle w:val="Odwoanieprzypisudolnego"/>
          <w:rFonts w:ascii="Times New Roman" w:hAnsi="Times New Roman" w:cs="Times New Roman"/>
        </w:rPr>
        <w:footnoteRef/>
      </w:r>
      <w:r w:rsidRPr="00FA0CED">
        <w:rPr>
          <w:rFonts w:ascii="Times New Roman" w:hAnsi="Times New Roman" w:cs="Times New Roman"/>
        </w:rPr>
        <w:t xml:space="preserve"> Więcej: Zalecenia Parlamentu Europejskiego i Rady z dnia 18 grudnia 2006 r. w sprawie kompetencji kluczowych w procesie uczenia się przez całe życie, </w:t>
      </w:r>
      <w:proofErr w:type="spellStart"/>
      <w:r w:rsidRPr="00FA0CED">
        <w:rPr>
          <w:rFonts w:ascii="Times New Roman" w:hAnsi="Times New Roman" w:cs="Times New Roman"/>
        </w:rPr>
        <w:t>Official</w:t>
      </w:r>
      <w:proofErr w:type="spellEnd"/>
      <w:r w:rsidRPr="00FA0CED">
        <w:rPr>
          <w:rFonts w:ascii="Times New Roman" w:hAnsi="Times New Roman" w:cs="Times New Roman"/>
        </w:rPr>
        <w:t xml:space="preserve"> </w:t>
      </w:r>
      <w:proofErr w:type="spellStart"/>
      <w:r w:rsidRPr="00FA0CED">
        <w:rPr>
          <w:rFonts w:ascii="Times New Roman" w:hAnsi="Times New Roman" w:cs="Times New Roman"/>
        </w:rPr>
        <w:t>Journal</w:t>
      </w:r>
      <w:proofErr w:type="spellEnd"/>
      <w:r w:rsidRPr="00FA0CED">
        <w:rPr>
          <w:rFonts w:ascii="Times New Roman" w:hAnsi="Times New Roman" w:cs="Times New Roman"/>
        </w:rPr>
        <w:t xml:space="preserve"> of the </w:t>
      </w:r>
      <w:proofErr w:type="spellStart"/>
      <w:r w:rsidRPr="00FA0CED">
        <w:rPr>
          <w:rFonts w:ascii="Times New Roman" w:hAnsi="Times New Roman" w:cs="Times New Roman"/>
        </w:rPr>
        <w:t>European</w:t>
      </w:r>
      <w:proofErr w:type="spellEnd"/>
      <w:r w:rsidRPr="00FA0CED">
        <w:rPr>
          <w:rFonts w:ascii="Times New Roman" w:hAnsi="Times New Roman" w:cs="Times New Roman"/>
        </w:rPr>
        <w:t xml:space="preserve"> Union, nr L 398/10 z dn. 30.12.2006.</w:t>
      </w:r>
    </w:p>
  </w:footnote>
  <w:footnote w:id="3">
    <w:p w14:paraId="62DA88B9" w14:textId="40864FF1" w:rsidR="00252E35" w:rsidRPr="00FA0CED" w:rsidRDefault="00252E35" w:rsidP="00252E35">
      <w:pPr>
        <w:pStyle w:val="Tekstprzypisudolnego"/>
        <w:jc w:val="both"/>
        <w:rPr>
          <w:rFonts w:ascii="Times New Roman" w:hAnsi="Times New Roman" w:cs="Times New Roman"/>
        </w:rPr>
      </w:pPr>
      <w:r w:rsidRPr="00FA0CED">
        <w:rPr>
          <w:rStyle w:val="Odwoanieprzypisudolnego"/>
          <w:rFonts w:ascii="Times New Roman" w:hAnsi="Times New Roman" w:cs="Times New Roman"/>
        </w:rPr>
        <w:footnoteRef/>
      </w:r>
      <w:r w:rsidRPr="00FA0CED">
        <w:rPr>
          <w:rFonts w:ascii="Times New Roman" w:hAnsi="Times New Roman" w:cs="Times New Roman"/>
        </w:rPr>
        <w:t xml:space="preserve"> </w:t>
      </w:r>
      <w:hyperlink r:id="rId1" w:history="1">
        <w:r w:rsidRPr="00FA0CED">
          <w:rPr>
            <w:rStyle w:val="Hipercze"/>
            <w:rFonts w:ascii="Times New Roman" w:hAnsi="Times New Roman" w:cs="Times New Roman"/>
          </w:rPr>
          <w:t>https://www.edunews.pl/badania-i-debaty/opinie/3709-szkola-do-fundamentalnej-zmiany</w:t>
        </w:r>
      </w:hyperlink>
      <w:r w:rsidR="003F0FC1">
        <w:rPr>
          <w:rFonts w:ascii="Times New Roman" w:hAnsi="Times New Roman" w:cs="Times New Roman"/>
        </w:rPr>
        <w:t>.</w:t>
      </w:r>
    </w:p>
  </w:footnote>
  <w:footnote w:id="4">
    <w:p w14:paraId="74BBFB45" w14:textId="77777777" w:rsidR="00252E35" w:rsidRPr="00FA0CED" w:rsidRDefault="00252E35" w:rsidP="00252E35">
      <w:pPr>
        <w:pStyle w:val="Tekstprzypisudolnego"/>
        <w:jc w:val="both"/>
        <w:rPr>
          <w:rFonts w:ascii="Times New Roman" w:hAnsi="Times New Roman" w:cs="Times New Roman"/>
        </w:rPr>
      </w:pPr>
      <w:r w:rsidRPr="00FA0CED">
        <w:rPr>
          <w:rStyle w:val="Odwoanieprzypisudolnego"/>
          <w:rFonts w:ascii="Times New Roman" w:hAnsi="Times New Roman" w:cs="Times New Roman"/>
        </w:rPr>
        <w:footnoteRef/>
      </w:r>
      <w:r w:rsidRPr="00FA0CED">
        <w:rPr>
          <w:rFonts w:ascii="Times New Roman" w:hAnsi="Times New Roman" w:cs="Times New Roman"/>
        </w:rPr>
        <w:t xml:space="preserve"> Na podstawie: </w:t>
      </w:r>
      <w:proofErr w:type="spellStart"/>
      <w:r w:rsidRPr="00FA0CED">
        <w:rPr>
          <w:rFonts w:ascii="Times New Roman" w:hAnsi="Times New Roman" w:cs="Times New Roman"/>
        </w:rPr>
        <w:t>Penc</w:t>
      </w:r>
      <w:proofErr w:type="spellEnd"/>
      <w:r w:rsidRPr="00FA0CED">
        <w:rPr>
          <w:rFonts w:ascii="Times New Roman" w:hAnsi="Times New Roman" w:cs="Times New Roman"/>
        </w:rPr>
        <w:t xml:space="preserve"> J., </w:t>
      </w:r>
      <w:r w:rsidRPr="00FA0CED">
        <w:rPr>
          <w:rFonts w:ascii="Times New Roman" w:hAnsi="Times New Roman" w:cs="Times New Roman"/>
          <w:i/>
          <w:iCs/>
        </w:rPr>
        <w:t>Sztuka skutecznego zarządzania</w:t>
      </w:r>
      <w:r w:rsidRPr="00FA0CED">
        <w:rPr>
          <w:rFonts w:ascii="Times New Roman" w:hAnsi="Times New Roman" w:cs="Times New Roman"/>
        </w:rPr>
        <w:t>, Oficyna Ekonomiczna, Kraków 2006, s. 38.</w:t>
      </w:r>
    </w:p>
  </w:footnote>
  <w:footnote w:id="5">
    <w:p w14:paraId="6AA36CA4" w14:textId="77777777" w:rsidR="00252E35" w:rsidRPr="00FA0CED" w:rsidRDefault="00252E35" w:rsidP="00252E35">
      <w:pPr>
        <w:pStyle w:val="Tekstprzypisudolnego"/>
        <w:jc w:val="both"/>
        <w:rPr>
          <w:rFonts w:ascii="Times New Roman" w:hAnsi="Times New Roman" w:cs="Times New Roman"/>
        </w:rPr>
      </w:pPr>
      <w:r w:rsidRPr="00FA0CED">
        <w:rPr>
          <w:rStyle w:val="Odwoanieprzypisudolnego"/>
          <w:rFonts w:ascii="Times New Roman" w:hAnsi="Times New Roman" w:cs="Times New Roman"/>
        </w:rPr>
        <w:footnoteRef/>
      </w:r>
      <w:r w:rsidRPr="00FA0CED">
        <w:rPr>
          <w:rFonts w:ascii="Times New Roman" w:hAnsi="Times New Roman" w:cs="Times New Roman"/>
        </w:rPr>
        <w:t xml:space="preserve"> Marek S., </w:t>
      </w:r>
      <w:proofErr w:type="spellStart"/>
      <w:r w:rsidRPr="00FA0CED">
        <w:rPr>
          <w:rFonts w:ascii="Times New Roman" w:hAnsi="Times New Roman" w:cs="Times New Roman"/>
        </w:rPr>
        <w:t>Białasiewicz</w:t>
      </w:r>
      <w:proofErr w:type="spellEnd"/>
      <w:r w:rsidRPr="00FA0CED">
        <w:rPr>
          <w:rFonts w:ascii="Times New Roman" w:hAnsi="Times New Roman" w:cs="Times New Roman"/>
        </w:rPr>
        <w:t xml:space="preserve"> M. (red.), </w:t>
      </w:r>
      <w:r w:rsidRPr="00FA0CED">
        <w:rPr>
          <w:rFonts w:ascii="Times New Roman" w:hAnsi="Times New Roman" w:cs="Times New Roman"/>
          <w:i/>
        </w:rPr>
        <w:t>Podstawy nauki o organizacji</w:t>
      </w:r>
      <w:r w:rsidRPr="00FA0CED">
        <w:rPr>
          <w:rFonts w:ascii="Times New Roman" w:hAnsi="Times New Roman" w:cs="Times New Roman"/>
        </w:rPr>
        <w:t>, Polskie Wydawnictwo Ekonomiczne, Warszawa 2008, passim.</w:t>
      </w:r>
    </w:p>
  </w:footnote>
  <w:footnote w:id="6">
    <w:p w14:paraId="1A8BC30C" w14:textId="77777777" w:rsidR="00252E35" w:rsidRPr="00FA0CED" w:rsidRDefault="00252E35" w:rsidP="00252E35">
      <w:pPr>
        <w:pStyle w:val="Tekstprzypisudolnego"/>
        <w:jc w:val="both"/>
        <w:rPr>
          <w:rFonts w:ascii="Times New Roman" w:hAnsi="Times New Roman" w:cs="Times New Roman"/>
        </w:rPr>
      </w:pPr>
      <w:r w:rsidRPr="00FA0CED">
        <w:rPr>
          <w:rStyle w:val="Odwoanieprzypisudolnego"/>
          <w:rFonts w:ascii="Times New Roman" w:hAnsi="Times New Roman" w:cs="Times New Roman"/>
        </w:rPr>
        <w:footnoteRef/>
      </w:r>
      <w:r w:rsidRPr="00FA0CED">
        <w:rPr>
          <w:rFonts w:ascii="Times New Roman" w:hAnsi="Times New Roman" w:cs="Times New Roman"/>
        </w:rPr>
        <w:t xml:space="preserve"> </w:t>
      </w:r>
      <w:proofErr w:type="spellStart"/>
      <w:r w:rsidRPr="00FA0CED">
        <w:rPr>
          <w:rFonts w:ascii="Times New Roman" w:hAnsi="Times New Roman" w:cs="Times New Roman"/>
        </w:rPr>
        <w:t>Ansoff</w:t>
      </w:r>
      <w:proofErr w:type="spellEnd"/>
      <w:r w:rsidRPr="00FA0CED">
        <w:rPr>
          <w:rFonts w:ascii="Times New Roman" w:hAnsi="Times New Roman" w:cs="Times New Roman"/>
        </w:rPr>
        <w:t xml:space="preserve"> H., </w:t>
      </w:r>
      <w:r w:rsidRPr="00FA0CED">
        <w:rPr>
          <w:rFonts w:ascii="Times New Roman" w:hAnsi="Times New Roman" w:cs="Times New Roman"/>
          <w:i/>
          <w:iCs/>
        </w:rPr>
        <w:t>Zarządzanie strategiczne</w:t>
      </w:r>
      <w:r w:rsidRPr="00FA0CED">
        <w:rPr>
          <w:rFonts w:ascii="Times New Roman" w:hAnsi="Times New Roman" w:cs="Times New Roman"/>
        </w:rPr>
        <w:t>, Polskie Wydawnictwo Ekonomiczne, Warszawa 1985, s. 58.</w:t>
      </w:r>
    </w:p>
  </w:footnote>
  <w:footnote w:id="7">
    <w:p w14:paraId="7EC6534F" w14:textId="77777777" w:rsidR="00252E35" w:rsidRPr="00FA0CED" w:rsidRDefault="00252E35" w:rsidP="00252E35">
      <w:pPr>
        <w:pStyle w:val="Tekstprzypisudolnego"/>
        <w:jc w:val="both"/>
        <w:rPr>
          <w:rFonts w:ascii="Times New Roman" w:hAnsi="Times New Roman" w:cs="Times New Roman"/>
        </w:rPr>
      </w:pPr>
      <w:r w:rsidRPr="00FA0CED">
        <w:rPr>
          <w:rStyle w:val="Odwoanieprzypisudolnego"/>
          <w:rFonts w:ascii="Times New Roman" w:hAnsi="Times New Roman" w:cs="Times New Roman"/>
        </w:rPr>
        <w:footnoteRef/>
      </w:r>
      <w:r w:rsidRPr="00FA0CED">
        <w:rPr>
          <w:rFonts w:ascii="Times New Roman" w:hAnsi="Times New Roman" w:cs="Times New Roman"/>
        </w:rPr>
        <w:t xml:space="preserve"> </w:t>
      </w:r>
      <w:proofErr w:type="spellStart"/>
      <w:r w:rsidRPr="00FA0CED">
        <w:rPr>
          <w:rFonts w:ascii="Times New Roman" w:hAnsi="Times New Roman" w:cs="Times New Roman"/>
        </w:rPr>
        <w:t>Haffer</w:t>
      </w:r>
      <w:proofErr w:type="spellEnd"/>
      <w:r w:rsidRPr="00FA0CED">
        <w:rPr>
          <w:rFonts w:ascii="Times New Roman" w:hAnsi="Times New Roman" w:cs="Times New Roman"/>
        </w:rPr>
        <w:t xml:space="preserve"> J., </w:t>
      </w:r>
      <w:r w:rsidRPr="00FA0CED">
        <w:rPr>
          <w:rFonts w:ascii="Times New Roman" w:hAnsi="Times New Roman" w:cs="Times New Roman"/>
          <w:i/>
          <w:iCs/>
        </w:rPr>
        <w:t>Skuteczność zarządzania projektami w przedsiębiorstwach działających w Polsce</w:t>
      </w:r>
      <w:r w:rsidRPr="00FA0CED">
        <w:rPr>
          <w:rFonts w:ascii="Times New Roman" w:hAnsi="Times New Roman" w:cs="Times New Roman"/>
        </w:rPr>
        <w:t>, Towarzystwo Naukowe Organizacji i Kierowania, Toruń 2009, s. 48-49.</w:t>
      </w:r>
    </w:p>
  </w:footnote>
  <w:footnote w:id="8">
    <w:p w14:paraId="1977077F" w14:textId="77777777" w:rsidR="00252E35" w:rsidRPr="00FA0CED" w:rsidRDefault="00252E35" w:rsidP="00252E35">
      <w:pPr>
        <w:pStyle w:val="Tekstprzypisudolnego"/>
        <w:tabs>
          <w:tab w:val="left" w:pos="7560"/>
        </w:tabs>
        <w:jc w:val="both"/>
        <w:rPr>
          <w:rFonts w:ascii="Times New Roman" w:hAnsi="Times New Roman" w:cs="Times New Roman"/>
        </w:rPr>
      </w:pPr>
      <w:r w:rsidRPr="00FA0CED">
        <w:rPr>
          <w:rStyle w:val="Odwoanieprzypisudolnego"/>
          <w:rFonts w:ascii="Times New Roman" w:hAnsi="Times New Roman" w:cs="Times New Roman"/>
        </w:rPr>
        <w:footnoteRef/>
      </w:r>
      <w:r w:rsidRPr="00FA0CED">
        <w:rPr>
          <w:rFonts w:ascii="Times New Roman" w:hAnsi="Times New Roman" w:cs="Times New Roman"/>
        </w:rPr>
        <w:t xml:space="preserve"> Więcej: </w:t>
      </w:r>
      <w:proofErr w:type="spellStart"/>
      <w:r w:rsidRPr="00FA0CED">
        <w:rPr>
          <w:rFonts w:ascii="Times New Roman" w:hAnsi="Times New Roman" w:cs="Times New Roman"/>
        </w:rPr>
        <w:t>Meighan</w:t>
      </w:r>
      <w:proofErr w:type="spellEnd"/>
      <w:r w:rsidRPr="00FA0CED">
        <w:rPr>
          <w:rFonts w:ascii="Times New Roman" w:hAnsi="Times New Roman" w:cs="Times New Roman"/>
        </w:rPr>
        <w:t xml:space="preserve"> R., </w:t>
      </w:r>
      <w:r w:rsidRPr="00FA0CED">
        <w:rPr>
          <w:rFonts w:ascii="Times New Roman" w:hAnsi="Times New Roman" w:cs="Times New Roman"/>
          <w:i/>
        </w:rPr>
        <w:t>Edukacja elastyczna</w:t>
      </w:r>
      <w:r w:rsidRPr="00FA0CED">
        <w:rPr>
          <w:rFonts w:ascii="Times New Roman" w:hAnsi="Times New Roman" w:cs="Times New Roman"/>
        </w:rPr>
        <w:t>, Wydawnictwo Stowarzyszenie Nasza Szkoła, bmw 1992.</w:t>
      </w:r>
    </w:p>
  </w:footnote>
  <w:footnote w:id="9">
    <w:p w14:paraId="01829E73" w14:textId="668B2A07" w:rsidR="00FA0CED" w:rsidRPr="00FA0CED" w:rsidRDefault="00FA0CED">
      <w:pPr>
        <w:pStyle w:val="Tekstprzypisudolnego"/>
        <w:rPr>
          <w:rFonts w:ascii="Times New Roman" w:hAnsi="Times New Roman" w:cs="Times New Roman"/>
        </w:rPr>
      </w:pPr>
      <w:r w:rsidRPr="00FA0CED">
        <w:rPr>
          <w:rStyle w:val="Odwoanieprzypisudolnego"/>
          <w:rFonts w:ascii="Times New Roman" w:hAnsi="Times New Roman" w:cs="Times New Roman"/>
        </w:rPr>
        <w:footnoteRef/>
      </w:r>
      <w:r w:rsidRPr="00FA0CED">
        <w:rPr>
          <w:rFonts w:ascii="Times New Roman" w:hAnsi="Times New Roman" w:cs="Times New Roman"/>
        </w:rPr>
        <w:t xml:space="preserve"> </w:t>
      </w:r>
      <w:hyperlink r:id="rId2" w:history="1">
        <w:r w:rsidRPr="00FA0CED">
          <w:rPr>
            <w:rStyle w:val="Hipercze"/>
            <w:rFonts w:ascii="Times New Roman" w:hAnsi="Times New Roman" w:cs="Times New Roman"/>
          </w:rPr>
          <w:t>https://www.edubaza.pl/s/3468/80886-Liczba-uczniow-w-Polsce.htm</w:t>
        </w:r>
      </w:hyperlink>
      <w:r w:rsidRPr="00FA0CED">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38A"/>
    <w:multiLevelType w:val="multilevel"/>
    <w:tmpl w:val="E86C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24F69"/>
    <w:multiLevelType w:val="hybridMultilevel"/>
    <w:tmpl w:val="5A94707A"/>
    <w:lvl w:ilvl="0" w:tplc="79CC1928">
      <w:start w:val="1"/>
      <w:numFmt w:val="bullet"/>
      <w:lvlText w:val="•"/>
      <w:lvlJc w:val="left"/>
      <w:pPr>
        <w:tabs>
          <w:tab w:val="num" w:pos="720"/>
        </w:tabs>
        <w:ind w:left="720" w:hanging="360"/>
      </w:pPr>
      <w:rPr>
        <w:rFonts w:ascii="Arial" w:hAnsi="Arial" w:hint="default"/>
      </w:rPr>
    </w:lvl>
    <w:lvl w:ilvl="1" w:tplc="7ADA9E10" w:tentative="1">
      <w:start w:val="1"/>
      <w:numFmt w:val="bullet"/>
      <w:lvlText w:val="•"/>
      <w:lvlJc w:val="left"/>
      <w:pPr>
        <w:tabs>
          <w:tab w:val="num" w:pos="1440"/>
        </w:tabs>
        <w:ind w:left="1440" w:hanging="360"/>
      </w:pPr>
      <w:rPr>
        <w:rFonts w:ascii="Arial" w:hAnsi="Arial" w:hint="default"/>
      </w:rPr>
    </w:lvl>
    <w:lvl w:ilvl="2" w:tplc="36E43FAE" w:tentative="1">
      <w:start w:val="1"/>
      <w:numFmt w:val="bullet"/>
      <w:lvlText w:val="•"/>
      <w:lvlJc w:val="left"/>
      <w:pPr>
        <w:tabs>
          <w:tab w:val="num" w:pos="2160"/>
        </w:tabs>
        <w:ind w:left="2160" w:hanging="360"/>
      </w:pPr>
      <w:rPr>
        <w:rFonts w:ascii="Arial" w:hAnsi="Arial" w:hint="default"/>
      </w:rPr>
    </w:lvl>
    <w:lvl w:ilvl="3" w:tplc="86FCFFC8" w:tentative="1">
      <w:start w:val="1"/>
      <w:numFmt w:val="bullet"/>
      <w:lvlText w:val="•"/>
      <w:lvlJc w:val="left"/>
      <w:pPr>
        <w:tabs>
          <w:tab w:val="num" w:pos="2880"/>
        </w:tabs>
        <w:ind w:left="2880" w:hanging="360"/>
      </w:pPr>
      <w:rPr>
        <w:rFonts w:ascii="Arial" w:hAnsi="Arial" w:hint="default"/>
      </w:rPr>
    </w:lvl>
    <w:lvl w:ilvl="4" w:tplc="4330E396" w:tentative="1">
      <w:start w:val="1"/>
      <w:numFmt w:val="bullet"/>
      <w:lvlText w:val="•"/>
      <w:lvlJc w:val="left"/>
      <w:pPr>
        <w:tabs>
          <w:tab w:val="num" w:pos="3600"/>
        </w:tabs>
        <w:ind w:left="3600" w:hanging="360"/>
      </w:pPr>
      <w:rPr>
        <w:rFonts w:ascii="Arial" w:hAnsi="Arial" w:hint="default"/>
      </w:rPr>
    </w:lvl>
    <w:lvl w:ilvl="5" w:tplc="9EC8F58E" w:tentative="1">
      <w:start w:val="1"/>
      <w:numFmt w:val="bullet"/>
      <w:lvlText w:val="•"/>
      <w:lvlJc w:val="left"/>
      <w:pPr>
        <w:tabs>
          <w:tab w:val="num" w:pos="4320"/>
        </w:tabs>
        <w:ind w:left="4320" w:hanging="360"/>
      </w:pPr>
      <w:rPr>
        <w:rFonts w:ascii="Arial" w:hAnsi="Arial" w:hint="default"/>
      </w:rPr>
    </w:lvl>
    <w:lvl w:ilvl="6" w:tplc="E098E994" w:tentative="1">
      <w:start w:val="1"/>
      <w:numFmt w:val="bullet"/>
      <w:lvlText w:val="•"/>
      <w:lvlJc w:val="left"/>
      <w:pPr>
        <w:tabs>
          <w:tab w:val="num" w:pos="5040"/>
        </w:tabs>
        <w:ind w:left="5040" w:hanging="360"/>
      </w:pPr>
      <w:rPr>
        <w:rFonts w:ascii="Arial" w:hAnsi="Arial" w:hint="default"/>
      </w:rPr>
    </w:lvl>
    <w:lvl w:ilvl="7" w:tplc="750607A0" w:tentative="1">
      <w:start w:val="1"/>
      <w:numFmt w:val="bullet"/>
      <w:lvlText w:val="•"/>
      <w:lvlJc w:val="left"/>
      <w:pPr>
        <w:tabs>
          <w:tab w:val="num" w:pos="5760"/>
        </w:tabs>
        <w:ind w:left="5760" w:hanging="360"/>
      </w:pPr>
      <w:rPr>
        <w:rFonts w:ascii="Arial" w:hAnsi="Arial" w:hint="default"/>
      </w:rPr>
    </w:lvl>
    <w:lvl w:ilvl="8" w:tplc="BE6CCE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4E07F3"/>
    <w:multiLevelType w:val="hybridMultilevel"/>
    <w:tmpl w:val="4412CA5C"/>
    <w:lvl w:ilvl="0" w:tplc="B05C656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33A072F"/>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04582A"/>
    <w:multiLevelType w:val="hybridMultilevel"/>
    <w:tmpl w:val="103C0E06"/>
    <w:lvl w:ilvl="0" w:tplc="B05C656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747D4E"/>
    <w:multiLevelType w:val="hybridMultilevel"/>
    <w:tmpl w:val="5CFEE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5A3C56"/>
    <w:multiLevelType w:val="hybridMultilevel"/>
    <w:tmpl w:val="F404FA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7C0B0C91"/>
    <w:multiLevelType w:val="hybridMultilevel"/>
    <w:tmpl w:val="A7063ECC"/>
    <w:lvl w:ilvl="0" w:tplc="E5EAC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27444317">
    <w:abstractNumId w:val="3"/>
  </w:num>
  <w:num w:numId="2" w16cid:durableId="1188373271">
    <w:abstractNumId w:val="4"/>
  </w:num>
  <w:num w:numId="3" w16cid:durableId="534125275">
    <w:abstractNumId w:val="5"/>
  </w:num>
  <w:num w:numId="4" w16cid:durableId="851649711">
    <w:abstractNumId w:val="1"/>
  </w:num>
  <w:num w:numId="5" w16cid:durableId="1398550661">
    <w:abstractNumId w:val="2"/>
  </w:num>
  <w:num w:numId="6" w16cid:durableId="1917400075">
    <w:abstractNumId w:val="0"/>
  </w:num>
  <w:num w:numId="7" w16cid:durableId="1338654270">
    <w:abstractNumId w:val="7"/>
  </w:num>
  <w:num w:numId="8" w16cid:durableId="971788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FC"/>
    <w:rsid w:val="000933F1"/>
    <w:rsid w:val="000A7B16"/>
    <w:rsid w:val="000B2FD5"/>
    <w:rsid w:val="000B39F4"/>
    <w:rsid w:val="000D42AD"/>
    <w:rsid w:val="00106848"/>
    <w:rsid w:val="00140511"/>
    <w:rsid w:val="00152B47"/>
    <w:rsid w:val="00156875"/>
    <w:rsid w:val="001770AF"/>
    <w:rsid w:val="001A4FB5"/>
    <w:rsid w:val="001B3CC1"/>
    <w:rsid w:val="001D6CFC"/>
    <w:rsid w:val="001F79F6"/>
    <w:rsid w:val="00214BF7"/>
    <w:rsid w:val="00252E35"/>
    <w:rsid w:val="00265A1F"/>
    <w:rsid w:val="0029287D"/>
    <w:rsid w:val="002948DE"/>
    <w:rsid w:val="002D1907"/>
    <w:rsid w:val="002F4138"/>
    <w:rsid w:val="00312CBC"/>
    <w:rsid w:val="003139BB"/>
    <w:rsid w:val="003661FD"/>
    <w:rsid w:val="00367CB8"/>
    <w:rsid w:val="00370AD8"/>
    <w:rsid w:val="00387249"/>
    <w:rsid w:val="003A08FC"/>
    <w:rsid w:val="003C0DB2"/>
    <w:rsid w:val="003C120B"/>
    <w:rsid w:val="003C6274"/>
    <w:rsid w:val="003F0FC1"/>
    <w:rsid w:val="00400DCA"/>
    <w:rsid w:val="00423C50"/>
    <w:rsid w:val="00443DB2"/>
    <w:rsid w:val="00467D45"/>
    <w:rsid w:val="00483987"/>
    <w:rsid w:val="004A0937"/>
    <w:rsid w:val="004A2122"/>
    <w:rsid w:val="004D1C7F"/>
    <w:rsid w:val="004E0ED8"/>
    <w:rsid w:val="004E4BCF"/>
    <w:rsid w:val="005203E3"/>
    <w:rsid w:val="005271E2"/>
    <w:rsid w:val="00542CB0"/>
    <w:rsid w:val="005951C7"/>
    <w:rsid w:val="005B0EF6"/>
    <w:rsid w:val="005C6883"/>
    <w:rsid w:val="005D6E09"/>
    <w:rsid w:val="005E48D4"/>
    <w:rsid w:val="005E748D"/>
    <w:rsid w:val="00625A7B"/>
    <w:rsid w:val="0067156A"/>
    <w:rsid w:val="006C4B42"/>
    <w:rsid w:val="006D02A0"/>
    <w:rsid w:val="0079425D"/>
    <w:rsid w:val="007B0295"/>
    <w:rsid w:val="007F0F18"/>
    <w:rsid w:val="00896591"/>
    <w:rsid w:val="008A0C3E"/>
    <w:rsid w:val="008A7028"/>
    <w:rsid w:val="008D7DD3"/>
    <w:rsid w:val="008E749A"/>
    <w:rsid w:val="00921969"/>
    <w:rsid w:val="00930C3A"/>
    <w:rsid w:val="00983DC9"/>
    <w:rsid w:val="0099331F"/>
    <w:rsid w:val="009D79DB"/>
    <w:rsid w:val="009F2106"/>
    <w:rsid w:val="00A3014A"/>
    <w:rsid w:val="00A53FC0"/>
    <w:rsid w:val="00AB2A93"/>
    <w:rsid w:val="00AD25B4"/>
    <w:rsid w:val="00AD750A"/>
    <w:rsid w:val="00AD791B"/>
    <w:rsid w:val="00AE12DC"/>
    <w:rsid w:val="00AE321A"/>
    <w:rsid w:val="00AE7A22"/>
    <w:rsid w:val="00AF1184"/>
    <w:rsid w:val="00AF5267"/>
    <w:rsid w:val="00B147F6"/>
    <w:rsid w:val="00B74CC4"/>
    <w:rsid w:val="00B976D9"/>
    <w:rsid w:val="00BC0A8E"/>
    <w:rsid w:val="00BE74D0"/>
    <w:rsid w:val="00C15AEE"/>
    <w:rsid w:val="00C310C0"/>
    <w:rsid w:val="00C34863"/>
    <w:rsid w:val="00C946D0"/>
    <w:rsid w:val="00CC1494"/>
    <w:rsid w:val="00D36611"/>
    <w:rsid w:val="00DA771D"/>
    <w:rsid w:val="00DC4E7F"/>
    <w:rsid w:val="00DD1AE2"/>
    <w:rsid w:val="00DD2F66"/>
    <w:rsid w:val="00E37B04"/>
    <w:rsid w:val="00EA7CC7"/>
    <w:rsid w:val="00EC407A"/>
    <w:rsid w:val="00ED39C8"/>
    <w:rsid w:val="00EF301F"/>
    <w:rsid w:val="00F30B99"/>
    <w:rsid w:val="00F6171D"/>
    <w:rsid w:val="00F676E9"/>
    <w:rsid w:val="00F717B4"/>
    <w:rsid w:val="00F72B64"/>
    <w:rsid w:val="00F742C5"/>
    <w:rsid w:val="00FA03EF"/>
    <w:rsid w:val="00FA0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4E7F"/>
  </w:style>
  <w:style w:type="paragraph" w:styleId="Nagwek1">
    <w:name w:val="heading 1"/>
    <w:basedOn w:val="Normalny"/>
    <w:next w:val="Normalny"/>
    <w:link w:val="Nagwek1Znak"/>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CFC"/>
  </w:style>
  <w:style w:type="paragraph" w:styleId="Stopka">
    <w:name w:val="footer"/>
    <w:basedOn w:val="Normalny"/>
    <w:link w:val="StopkaZnak"/>
    <w:uiPriority w:val="99"/>
    <w:unhideWhenUsed/>
    <w:rsid w:val="001D6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CFC"/>
  </w:style>
  <w:style w:type="character" w:customStyle="1" w:styleId="Nagwek1Znak">
    <w:name w:val="Nagłówek 1 Znak"/>
    <w:basedOn w:val="Domylnaczcionkaakapitu"/>
    <w:link w:val="Nagwek1"/>
    <w:uiPriority w:val="9"/>
    <w:rsid w:val="001D6C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331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02A0"/>
    <w:pPr>
      <w:ind w:left="720"/>
      <w:contextualSpacing/>
    </w:pPr>
  </w:style>
  <w:style w:type="table" w:styleId="Tabela-Siatka">
    <w:name w:val="Table Grid"/>
    <w:basedOn w:val="Standardowy"/>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dolnego1,Podrozdział, Znak,Tekst przypisu dolnego Znak2,Znak Znak1,Znak Znak Znak Znak Znak Znak1,Znak Znak Znak Znak Znak2,Znak Znak Znak Znak Znak Znak Znak Znak Znak1,Znak Znak Znak Znak Znak Znak Znak Znak2,Znak"/>
    <w:basedOn w:val="Normalny"/>
    <w:link w:val="TekstprzypisudolnegoZnak"/>
    <w:uiPriority w:val="99"/>
    <w:unhideWhenUsed/>
    <w:qFormat/>
    <w:rsid w:val="003A08FC"/>
    <w:pPr>
      <w:spacing w:after="0" w:line="240" w:lineRule="auto"/>
    </w:pPr>
    <w:rPr>
      <w:sz w:val="20"/>
      <w:szCs w:val="20"/>
    </w:rPr>
  </w:style>
  <w:style w:type="character" w:customStyle="1" w:styleId="TekstprzypisudolnegoZnak">
    <w:name w:val="Tekst przypisu dolnego Znak"/>
    <w:aliases w:val="Tekst przypisu dolnego1 Znak,Podrozdział Znak, Znak Znak,Tekst przypisu dolnego Znak2 Znak,Znak Znak1 Znak,Znak Znak Znak Znak Znak Znak1 Znak,Znak Znak Znak Znak Znak2 Znak,Znak Znak Znak Znak Znak Znak Znak Znak Znak1 Znak"/>
    <w:basedOn w:val="Domylnaczcionkaakapitu"/>
    <w:link w:val="Tekstprzypisudolnego"/>
    <w:uiPriority w:val="99"/>
    <w:rsid w:val="003A08FC"/>
    <w:rPr>
      <w:sz w:val="20"/>
      <w:szCs w:val="20"/>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OZNAKA OPOMBE"/>
    <w:basedOn w:val="Domylnaczcionkaakapitu"/>
    <w:link w:val="FootnotesymbolCarZchn"/>
    <w:uiPriority w:val="99"/>
    <w:unhideWhenUsed/>
    <w:qFormat/>
    <w:rsid w:val="003A08FC"/>
    <w:rPr>
      <w:vertAlign w:val="superscript"/>
    </w:rPr>
  </w:style>
  <w:style w:type="character" w:styleId="Hipercze">
    <w:name w:val="Hyperlink"/>
    <w:basedOn w:val="Domylnaczcionkaakapitu"/>
    <w:uiPriority w:val="99"/>
    <w:unhideWhenUsed/>
    <w:rsid w:val="008A7028"/>
    <w:rPr>
      <w:color w:val="0563C1" w:themeColor="hyperlink"/>
      <w:u w:val="single"/>
    </w:rPr>
  </w:style>
  <w:style w:type="character" w:customStyle="1" w:styleId="addmd">
    <w:name w:val="addmd"/>
    <w:basedOn w:val="Domylnaczcionkaakapitu"/>
    <w:rsid w:val="008A7028"/>
  </w:style>
  <w:style w:type="character" w:styleId="HTML-cytat">
    <w:name w:val="HTML Cite"/>
    <w:basedOn w:val="Domylnaczcionkaakapitu"/>
    <w:uiPriority w:val="99"/>
    <w:semiHidden/>
    <w:unhideWhenUsed/>
    <w:rsid w:val="008A7028"/>
    <w:rPr>
      <w:i/>
      <w:iCs/>
    </w:rPr>
  </w:style>
  <w:style w:type="paragraph" w:customStyle="1" w:styleId="Default">
    <w:name w:val="Default"/>
    <w:rsid w:val="00423C50"/>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AE7A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A22"/>
    <w:rPr>
      <w:sz w:val="20"/>
      <w:szCs w:val="20"/>
    </w:rPr>
  </w:style>
  <w:style w:type="character" w:styleId="Odwoanieprzypisukocowego">
    <w:name w:val="endnote reference"/>
    <w:basedOn w:val="Domylnaczcionkaakapitu"/>
    <w:uiPriority w:val="99"/>
    <w:semiHidden/>
    <w:unhideWhenUsed/>
    <w:rsid w:val="00AE7A22"/>
    <w:rPr>
      <w:vertAlign w:val="superscript"/>
    </w:rPr>
  </w:style>
  <w:style w:type="paragraph" w:customStyle="1" w:styleId="StylStyl1Pierwszywiersz1cm">
    <w:name w:val="Styl Styl1 + Pierwszy wiersz:  1 cm"/>
    <w:basedOn w:val="Normalny"/>
    <w:link w:val="StylStyl1Pierwszywiersz1cmZnak"/>
    <w:autoRedefine/>
    <w:qFormat/>
    <w:rsid w:val="00F742C5"/>
    <w:pPr>
      <w:tabs>
        <w:tab w:val="left" w:pos="567"/>
        <w:tab w:val="left" w:pos="6541"/>
      </w:tabs>
      <w:spacing w:after="120" w:line="360" w:lineRule="auto"/>
      <w:ind w:left="360"/>
      <w:jc w:val="both"/>
    </w:pPr>
    <w:rPr>
      <w:rFonts w:ascii="Times New Roman" w:eastAsia="Times New Roman" w:hAnsi="Times New Roman" w:cs="Times New Roman"/>
      <w:sz w:val="24"/>
      <w:szCs w:val="20"/>
      <w:lang w:eastAsia="pl-PL"/>
    </w:rPr>
  </w:style>
  <w:style w:type="character" w:customStyle="1" w:styleId="StylStyl1Pierwszywiersz1cmZnak">
    <w:name w:val="Styl Styl1 + Pierwszy wiersz:  1 cm Znak"/>
    <w:link w:val="StylStyl1Pierwszywiersz1cm"/>
    <w:rsid w:val="00F742C5"/>
    <w:rPr>
      <w:rFonts w:ascii="Times New Roman" w:eastAsia="Times New Roman" w:hAnsi="Times New Roman" w:cs="Times New Roman"/>
      <w:sz w:val="24"/>
      <w:szCs w:val="20"/>
      <w:lang w:eastAsia="pl-P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uiPriority w:val="99"/>
    <w:rsid w:val="00F742C5"/>
    <w:pPr>
      <w:spacing w:line="240" w:lineRule="exact"/>
      <w:jc w:val="both"/>
    </w:pPr>
    <w:rPr>
      <w:vertAlign w:val="superscript"/>
    </w:rPr>
  </w:style>
  <w:style w:type="character" w:customStyle="1" w:styleId="jlqj4b">
    <w:name w:val="jlqj4b"/>
    <w:basedOn w:val="Domylnaczcionkaakapitu"/>
    <w:rsid w:val="00F742C5"/>
  </w:style>
  <w:style w:type="character" w:customStyle="1" w:styleId="A5">
    <w:name w:val="A5"/>
    <w:uiPriority w:val="99"/>
    <w:rsid w:val="00214BF7"/>
    <w:rPr>
      <w:rFonts w:cs="Revivl555EU"/>
      <w:color w:val="000000"/>
      <w:sz w:val="13"/>
      <w:szCs w:val="13"/>
    </w:rPr>
  </w:style>
  <w:style w:type="character" w:styleId="Pogrubienie">
    <w:name w:val="Strong"/>
    <w:basedOn w:val="Domylnaczcionkaakapitu"/>
    <w:uiPriority w:val="22"/>
    <w:qFormat/>
    <w:rsid w:val="00EF301F"/>
    <w:rPr>
      <w:b/>
      <w:bCs/>
    </w:rPr>
  </w:style>
  <w:style w:type="paragraph" w:styleId="NormalnyWeb">
    <w:name w:val="Normal (Web)"/>
    <w:basedOn w:val="Normalny"/>
    <w:uiPriority w:val="99"/>
    <w:unhideWhenUsed/>
    <w:rsid w:val="00443DB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c-ti">
    <w:name w:val="doc-ti"/>
    <w:basedOn w:val="Normalny"/>
    <w:rsid w:val="00BE74D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reference-text">
    <w:name w:val="reference-text"/>
    <w:basedOn w:val="Domylnaczcionkaakapitu"/>
    <w:rsid w:val="00BE74D0"/>
  </w:style>
  <w:style w:type="character" w:styleId="Nierozpoznanawzmianka">
    <w:name w:val="Unresolved Mention"/>
    <w:basedOn w:val="Domylnaczcionkaakapitu"/>
    <w:uiPriority w:val="99"/>
    <w:semiHidden/>
    <w:unhideWhenUsed/>
    <w:rsid w:val="00FA0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9063">
      <w:bodyDiv w:val="1"/>
      <w:marLeft w:val="0"/>
      <w:marRight w:val="0"/>
      <w:marTop w:val="0"/>
      <w:marBottom w:val="0"/>
      <w:divBdr>
        <w:top w:val="none" w:sz="0" w:space="0" w:color="auto"/>
        <w:left w:val="none" w:sz="0" w:space="0" w:color="auto"/>
        <w:bottom w:val="none" w:sz="0" w:space="0" w:color="auto"/>
        <w:right w:val="none" w:sz="0" w:space="0" w:color="auto"/>
      </w:divBdr>
    </w:div>
    <w:div w:id="764427345">
      <w:bodyDiv w:val="1"/>
      <w:marLeft w:val="0"/>
      <w:marRight w:val="0"/>
      <w:marTop w:val="0"/>
      <w:marBottom w:val="0"/>
      <w:divBdr>
        <w:top w:val="none" w:sz="0" w:space="0" w:color="auto"/>
        <w:left w:val="none" w:sz="0" w:space="0" w:color="auto"/>
        <w:bottom w:val="none" w:sz="0" w:space="0" w:color="auto"/>
        <w:right w:val="none" w:sz="0" w:space="0" w:color="auto"/>
      </w:divBdr>
      <w:divsChild>
        <w:div w:id="489836120">
          <w:marLeft w:val="446"/>
          <w:marRight w:val="0"/>
          <w:marTop w:val="120"/>
          <w:marBottom w:val="0"/>
          <w:divBdr>
            <w:top w:val="none" w:sz="0" w:space="0" w:color="auto"/>
            <w:left w:val="none" w:sz="0" w:space="0" w:color="auto"/>
            <w:bottom w:val="none" w:sz="0" w:space="0" w:color="auto"/>
            <w:right w:val="none" w:sz="0" w:space="0" w:color="auto"/>
          </w:divBdr>
        </w:div>
      </w:divsChild>
    </w:div>
    <w:div w:id="875654621">
      <w:bodyDiv w:val="1"/>
      <w:marLeft w:val="0"/>
      <w:marRight w:val="0"/>
      <w:marTop w:val="0"/>
      <w:marBottom w:val="0"/>
      <w:divBdr>
        <w:top w:val="none" w:sz="0" w:space="0" w:color="auto"/>
        <w:left w:val="none" w:sz="0" w:space="0" w:color="auto"/>
        <w:bottom w:val="none" w:sz="0" w:space="0" w:color="auto"/>
        <w:right w:val="none" w:sz="0" w:space="0" w:color="auto"/>
      </w:divBdr>
    </w:div>
    <w:div w:id="1261451861">
      <w:bodyDiv w:val="1"/>
      <w:marLeft w:val="0"/>
      <w:marRight w:val="0"/>
      <w:marTop w:val="0"/>
      <w:marBottom w:val="0"/>
      <w:divBdr>
        <w:top w:val="none" w:sz="0" w:space="0" w:color="auto"/>
        <w:left w:val="none" w:sz="0" w:space="0" w:color="auto"/>
        <w:bottom w:val="none" w:sz="0" w:space="0" w:color="auto"/>
        <w:right w:val="none" w:sz="0" w:space="0" w:color="auto"/>
      </w:divBdr>
      <w:divsChild>
        <w:div w:id="636302235">
          <w:marLeft w:val="446"/>
          <w:marRight w:val="0"/>
          <w:marTop w:val="120"/>
          <w:marBottom w:val="0"/>
          <w:divBdr>
            <w:top w:val="none" w:sz="0" w:space="0" w:color="auto"/>
            <w:left w:val="none" w:sz="0" w:space="0" w:color="auto"/>
            <w:bottom w:val="none" w:sz="0" w:space="0" w:color="auto"/>
            <w:right w:val="none" w:sz="0" w:space="0" w:color="auto"/>
          </w:divBdr>
        </w:div>
        <w:div w:id="1086654699">
          <w:marLeft w:val="446"/>
          <w:marRight w:val="0"/>
          <w:marTop w:val="120"/>
          <w:marBottom w:val="0"/>
          <w:divBdr>
            <w:top w:val="none" w:sz="0" w:space="0" w:color="auto"/>
            <w:left w:val="none" w:sz="0" w:space="0" w:color="auto"/>
            <w:bottom w:val="none" w:sz="0" w:space="0" w:color="auto"/>
            <w:right w:val="none" w:sz="0" w:space="0" w:color="auto"/>
          </w:divBdr>
        </w:div>
        <w:div w:id="1051418064">
          <w:marLeft w:val="446"/>
          <w:marRight w:val="0"/>
          <w:marTop w:val="120"/>
          <w:marBottom w:val="0"/>
          <w:divBdr>
            <w:top w:val="none" w:sz="0" w:space="0" w:color="auto"/>
            <w:left w:val="none" w:sz="0" w:space="0" w:color="auto"/>
            <w:bottom w:val="none" w:sz="0" w:space="0" w:color="auto"/>
            <w:right w:val="none" w:sz="0" w:space="0" w:color="auto"/>
          </w:divBdr>
        </w:div>
        <w:div w:id="2028679063">
          <w:marLeft w:val="446"/>
          <w:marRight w:val="0"/>
          <w:marTop w:val="120"/>
          <w:marBottom w:val="0"/>
          <w:divBdr>
            <w:top w:val="none" w:sz="0" w:space="0" w:color="auto"/>
            <w:left w:val="none" w:sz="0" w:space="0" w:color="auto"/>
            <w:bottom w:val="none" w:sz="0" w:space="0" w:color="auto"/>
            <w:right w:val="none" w:sz="0" w:space="0" w:color="auto"/>
          </w:divBdr>
        </w:div>
        <w:div w:id="789322591">
          <w:marLeft w:val="446"/>
          <w:marRight w:val="0"/>
          <w:marTop w:val="120"/>
          <w:marBottom w:val="0"/>
          <w:divBdr>
            <w:top w:val="none" w:sz="0" w:space="0" w:color="auto"/>
            <w:left w:val="none" w:sz="0" w:space="0" w:color="auto"/>
            <w:bottom w:val="none" w:sz="0" w:space="0" w:color="auto"/>
            <w:right w:val="none" w:sz="0" w:space="0" w:color="auto"/>
          </w:divBdr>
        </w:div>
        <w:div w:id="344867271">
          <w:marLeft w:val="446"/>
          <w:marRight w:val="0"/>
          <w:marTop w:val="120"/>
          <w:marBottom w:val="0"/>
          <w:divBdr>
            <w:top w:val="none" w:sz="0" w:space="0" w:color="auto"/>
            <w:left w:val="none" w:sz="0" w:space="0" w:color="auto"/>
            <w:bottom w:val="none" w:sz="0" w:space="0" w:color="auto"/>
            <w:right w:val="none" w:sz="0" w:space="0" w:color="auto"/>
          </w:divBdr>
        </w:div>
        <w:div w:id="1313872990">
          <w:marLeft w:val="446"/>
          <w:marRight w:val="0"/>
          <w:marTop w:val="120"/>
          <w:marBottom w:val="0"/>
          <w:divBdr>
            <w:top w:val="none" w:sz="0" w:space="0" w:color="auto"/>
            <w:left w:val="none" w:sz="0" w:space="0" w:color="auto"/>
            <w:bottom w:val="none" w:sz="0" w:space="0" w:color="auto"/>
            <w:right w:val="none" w:sz="0" w:space="0" w:color="auto"/>
          </w:divBdr>
        </w:div>
        <w:div w:id="497697227">
          <w:marLeft w:val="0"/>
          <w:marRight w:val="0"/>
          <w:marTop w:val="0"/>
          <w:marBottom w:val="120"/>
          <w:divBdr>
            <w:top w:val="none" w:sz="0" w:space="0" w:color="auto"/>
            <w:left w:val="none" w:sz="0" w:space="0" w:color="auto"/>
            <w:bottom w:val="none" w:sz="0" w:space="0" w:color="auto"/>
            <w:right w:val="none" w:sz="0" w:space="0" w:color="auto"/>
          </w:divBdr>
        </w:div>
        <w:div w:id="1089502738">
          <w:marLeft w:val="720"/>
          <w:marRight w:val="0"/>
          <w:marTop w:val="0"/>
          <w:marBottom w:val="120"/>
          <w:divBdr>
            <w:top w:val="none" w:sz="0" w:space="0" w:color="auto"/>
            <w:left w:val="none" w:sz="0" w:space="0" w:color="auto"/>
            <w:bottom w:val="none" w:sz="0" w:space="0" w:color="auto"/>
            <w:right w:val="none" w:sz="0" w:space="0" w:color="auto"/>
          </w:divBdr>
        </w:div>
        <w:div w:id="1825245388">
          <w:marLeft w:val="720"/>
          <w:marRight w:val="0"/>
          <w:marTop w:val="0"/>
          <w:marBottom w:val="120"/>
          <w:divBdr>
            <w:top w:val="none" w:sz="0" w:space="0" w:color="auto"/>
            <w:left w:val="none" w:sz="0" w:space="0" w:color="auto"/>
            <w:bottom w:val="none" w:sz="0" w:space="0" w:color="auto"/>
            <w:right w:val="none" w:sz="0" w:space="0" w:color="auto"/>
          </w:divBdr>
        </w:div>
        <w:div w:id="1648893962">
          <w:marLeft w:val="720"/>
          <w:marRight w:val="0"/>
          <w:marTop w:val="0"/>
          <w:marBottom w:val="120"/>
          <w:divBdr>
            <w:top w:val="none" w:sz="0" w:space="0" w:color="auto"/>
            <w:left w:val="none" w:sz="0" w:space="0" w:color="auto"/>
            <w:bottom w:val="none" w:sz="0" w:space="0" w:color="auto"/>
            <w:right w:val="none" w:sz="0" w:space="0" w:color="auto"/>
          </w:divBdr>
        </w:div>
        <w:div w:id="1597127807">
          <w:marLeft w:val="720"/>
          <w:marRight w:val="0"/>
          <w:marTop w:val="0"/>
          <w:marBottom w:val="120"/>
          <w:divBdr>
            <w:top w:val="none" w:sz="0" w:space="0" w:color="auto"/>
            <w:left w:val="none" w:sz="0" w:space="0" w:color="auto"/>
            <w:bottom w:val="none" w:sz="0" w:space="0" w:color="auto"/>
            <w:right w:val="none" w:sz="0" w:space="0" w:color="auto"/>
          </w:divBdr>
        </w:div>
        <w:div w:id="701712688">
          <w:marLeft w:val="720"/>
          <w:marRight w:val="0"/>
          <w:marTop w:val="0"/>
          <w:marBottom w:val="120"/>
          <w:divBdr>
            <w:top w:val="none" w:sz="0" w:space="0" w:color="auto"/>
            <w:left w:val="none" w:sz="0" w:space="0" w:color="auto"/>
            <w:bottom w:val="none" w:sz="0" w:space="0" w:color="auto"/>
            <w:right w:val="none" w:sz="0" w:space="0" w:color="auto"/>
          </w:divBdr>
        </w:div>
      </w:divsChild>
    </w:div>
    <w:div w:id="1357152157">
      <w:bodyDiv w:val="1"/>
      <w:marLeft w:val="0"/>
      <w:marRight w:val="0"/>
      <w:marTop w:val="0"/>
      <w:marBottom w:val="0"/>
      <w:divBdr>
        <w:top w:val="none" w:sz="0" w:space="0" w:color="auto"/>
        <w:left w:val="none" w:sz="0" w:space="0" w:color="auto"/>
        <w:bottom w:val="none" w:sz="0" w:space="0" w:color="auto"/>
        <w:right w:val="none" w:sz="0" w:space="0" w:color="auto"/>
      </w:divBdr>
    </w:div>
    <w:div w:id="1396078488">
      <w:bodyDiv w:val="1"/>
      <w:marLeft w:val="0"/>
      <w:marRight w:val="0"/>
      <w:marTop w:val="0"/>
      <w:marBottom w:val="0"/>
      <w:divBdr>
        <w:top w:val="none" w:sz="0" w:space="0" w:color="auto"/>
        <w:left w:val="none" w:sz="0" w:space="0" w:color="auto"/>
        <w:bottom w:val="none" w:sz="0" w:space="0" w:color="auto"/>
        <w:right w:val="none" w:sz="0" w:space="0" w:color="auto"/>
      </w:divBdr>
    </w:div>
    <w:div w:id="1796874605">
      <w:bodyDiv w:val="1"/>
      <w:marLeft w:val="0"/>
      <w:marRight w:val="0"/>
      <w:marTop w:val="0"/>
      <w:marBottom w:val="0"/>
      <w:divBdr>
        <w:top w:val="none" w:sz="0" w:space="0" w:color="auto"/>
        <w:left w:val="none" w:sz="0" w:space="0" w:color="auto"/>
        <w:bottom w:val="none" w:sz="0" w:space="0" w:color="auto"/>
        <w:right w:val="none" w:sz="0" w:space="0" w:color="auto"/>
      </w:divBdr>
    </w:div>
    <w:div w:id="21359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baza.pl/s/3468/80886-Liczba-uczniow-w-Polsc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dunews.pl/badania-i-debaty/opinie/3709-szkola-do-fundamentalnej-zmian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edubaza.pl/s/3468/80886-Liczba-uczniow-w-Polsce.htm" TargetMode="External"/><Relationship Id="rId1" Type="http://schemas.openxmlformats.org/officeDocument/2006/relationships/hyperlink" Target="https://www.edunews.pl/badania-i-debaty/opinie/3709-szkola-do-fundamentalnej-zmia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5A9B-90EF-4C51-B3BB-251EEF88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1919</Words>
  <Characters>11516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Dariusz Danilewicz</cp:lastModifiedBy>
  <cp:revision>2</cp:revision>
  <dcterms:created xsi:type="dcterms:W3CDTF">2022-06-14T10:06:00Z</dcterms:created>
  <dcterms:modified xsi:type="dcterms:W3CDTF">2022-06-14T10:06:00Z</dcterms:modified>
</cp:coreProperties>
</file>